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8A96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outlineLvl w:val="0"/>
        <w:rPr>
          <w:rFonts w:ascii="Arial" w:eastAsia="Times New Roman" w:hAnsi="Arial" w:cs="Arial"/>
          <w:b/>
          <w:bCs/>
          <w:color w:val="1F2937"/>
          <w:kern w:val="36"/>
          <w:sz w:val="48"/>
          <w:szCs w:val="48"/>
          <w:lang w:eastAsia="en-GB"/>
        </w:rPr>
      </w:pPr>
      <w:r w:rsidRPr="00AC41B0">
        <w:rPr>
          <w:rFonts w:ascii="Arial" w:eastAsia="Times New Roman" w:hAnsi="Arial" w:cs="Arial"/>
          <w:b/>
          <w:bCs/>
          <w:color w:val="1F2937"/>
          <w:kern w:val="36"/>
          <w:sz w:val="48"/>
          <w:szCs w:val="48"/>
          <w:lang w:eastAsia="en-GB"/>
        </w:rPr>
        <w:t>Constitutional Amendments and why Clauses (5) and (6) of Article 239 (and Clause (2) of Article 8) of the Constitution matter (Part I)</w:t>
      </w:r>
    </w:p>
    <w:p w14:paraId="19E83F9F" w14:textId="09C27B6E"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bookmarkStart w:id="0" w:name="_GoBack"/>
      <w:bookmarkEnd w:id="0"/>
    </w:p>
    <w:p w14:paraId="7DDD70C1"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333B8C9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color w:val="1F2937"/>
          <w:sz w:val="27"/>
          <w:szCs w:val="27"/>
          <w:bdr w:val="single" w:sz="2" w:space="0" w:color="E5E7EB" w:frame="1"/>
          <w:lang w:eastAsia="en-GB"/>
        </w:rPr>
        <w:t xml:space="preserve">Part I: </w:t>
      </w:r>
      <w:proofErr w:type="spellStart"/>
      <w:r w:rsidRPr="00AC41B0">
        <w:rPr>
          <w:rFonts w:ascii="Arial" w:eastAsia="Times New Roman" w:hAnsi="Arial" w:cs="Arial"/>
          <w:b/>
          <w:bCs/>
          <w:color w:val="1F2937"/>
          <w:sz w:val="27"/>
          <w:szCs w:val="27"/>
          <w:bdr w:val="single" w:sz="2" w:space="0" w:color="E5E7EB" w:frame="1"/>
          <w:lang w:eastAsia="en-GB"/>
        </w:rPr>
        <w:t>Expressum</w:t>
      </w:r>
      <w:proofErr w:type="spellEnd"/>
      <w:r w:rsidRPr="00AC41B0">
        <w:rPr>
          <w:rFonts w:ascii="Arial" w:eastAsia="Times New Roman" w:hAnsi="Arial" w:cs="Arial"/>
          <w:b/>
          <w:bCs/>
          <w:color w:val="1F2937"/>
          <w:sz w:val="27"/>
          <w:szCs w:val="27"/>
          <w:bdr w:val="single" w:sz="2" w:space="0" w:color="E5E7EB" w:frame="1"/>
          <w:lang w:eastAsia="en-GB"/>
        </w:rPr>
        <w:t xml:space="preserve"> </w:t>
      </w:r>
      <w:proofErr w:type="spellStart"/>
      <w:r w:rsidRPr="00AC41B0">
        <w:rPr>
          <w:rFonts w:ascii="Arial" w:eastAsia="Times New Roman" w:hAnsi="Arial" w:cs="Arial"/>
          <w:b/>
          <w:bCs/>
          <w:color w:val="1F2937"/>
          <w:sz w:val="27"/>
          <w:szCs w:val="27"/>
          <w:bdr w:val="single" w:sz="2" w:space="0" w:color="E5E7EB" w:frame="1"/>
          <w:lang w:eastAsia="en-GB"/>
        </w:rPr>
        <w:t>Facit</w:t>
      </w:r>
      <w:proofErr w:type="spellEnd"/>
      <w:r w:rsidRPr="00AC41B0">
        <w:rPr>
          <w:rFonts w:ascii="Arial" w:eastAsia="Times New Roman" w:hAnsi="Arial" w:cs="Arial"/>
          <w:b/>
          <w:bCs/>
          <w:color w:val="1F2937"/>
          <w:sz w:val="27"/>
          <w:szCs w:val="27"/>
          <w:bdr w:val="single" w:sz="2" w:space="0" w:color="E5E7EB" w:frame="1"/>
          <w:lang w:eastAsia="en-GB"/>
        </w:rPr>
        <w:t xml:space="preserve"> </w:t>
      </w:r>
      <w:proofErr w:type="spellStart"/>
      <w:r w:rsidRPr="00AC41B0">
        <w:rPr>
          <w:rFonts w:ascii="Arial" w:eastAsia="Times New Roman" w:hAnsi="Arial" w:cs="Arial"/>
          <w:b/>
          <w:bCs/>
          <w:color w:val="1F2937"/>
          <w:sz w:val="27"/>
          <w:szCs w:val="27"/>
          <w:bdr w:val="single" w:sz="2" w:space="0" w:color="E5E7EB" w:frame="1"/>
          <w:lang w:eastAsia="en-GB"/>
        </w:rPr>
        <w:t>Cessare</w:t>
      </w:r>
      <w:proofErr w:type="spellEnd"/>
      <w:r w:rsidRPr="00AC41B0">
        <w:rPr>
          <w:rFonts w:ascii="Arial" w:eastAsia="Times New Roman" w:hAnsi="Arial" w:cs="Arial"/>
          <w:b/>
          <w:bCs/>
          <w:color w:val="1F2937"/>
          <w:sz w:val="27"/>
          <w:szCs w:val="27"/>
          <w:bdr w:val="single" w:sz="2" w:space="0" w:color="E5E7EB" w:frame="1"/>
          <w:lang w:eastAsia="en-GB"/>
        </w:rPr>
        <w:t xml:space="preserve"> </w:t>
      </w:r>
      <w:proofErr w:type="spellStart"/>
      <w:r w:rsidRPr="00AC41B0">
        <w:rPr>
          <w:rFonts w:ascii="Arial" w:eastAsia="Times New Roman" w:hAnsi="Arial" w:cs="Arial"/>
          <w:b/>
          <w:bCs/>
          <w:color w:val="1F2937"/>
          <w:sz w:val="27"/>
          <w:szCs w:val="27"/>
          <w:bdr w:val="single" w:sz="2" w:space="0" w:color="E5E7EB" w:frame="1"/>
          <w:lang w:eastAsia="en-GB"/>
        </w:rPr>
        <w:t>Tacitum</w:t>
      </w:r>
      <w:proofErr w:type="spellEnd"/>
    </w:p>
    <w:p w14:paraId="0E8CFC56"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It is said that:</w:t>
      </w:r>
    </w:p>
    <w:p w14:paraId="51B9184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“that which is expressed makes that which is implied to cease”</w:t>
      </w:r>
    </w:p>
    <w:p w14:paraId="44E6307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proofErr w:type="spellStart"/>
      <w:r w:rsidRPr="00AC41B0">
        <w:rPr>
          <w:rFonts w:ascii="Arial" w:eastAsia="Times New Roman" w:hAnsi="Arial" w:cs="Arial"/>
          <w:color w:val="1F2937"/>
          <w:sz w:val="27"/>
          <w:szCs w:val="27"/>
          <w:lang w:eastAsia="en-GB"/>
        </w:rPr>
        <w:t>Expressum</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facit</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cessare</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tacitum</w:t>
      </w:r>
      <w:proofErr w:type="spellEnd"/>
      <w:r w:rsidRPr="00AC41B0">
        <w:rPr>
          <w:rFonts w:ascii="Arial" w:eastAsia="Times New Roman" w:hAnsi="Arial" w:cs="Arial"/>
          <w:color w:val="1F2937"/>
          <w:sz w:val="27"/>
          <w:szCs w:val="27"/>
          <w:lang w:eastAsia="en-GB"/>
        </w:rPr>
        <w:t>. As the maxim goes, “the Courts may not by implication read into a statute that which is not intended to be there or make an implication which the language of the statute does not warrant. A fortiori, there is no room for an implication when the plain provisions of the statute are to the contrary.” </w:t>
      </w:r>
      <w:r w:rsidRPr="00AC41B0">
        <w:rPr>
          <w:rFonts w:ascii="Arial" w:eastAsia="Times New Roman" w:hAnsi="Arial" w:cs="Arial"/>
          <w:b/>
          <w:bCs/>
          <w:color w:val="1F2937"/>
          <w:sz w:val="27"/>
          <w:szCs w:val="27"/>
          <w:bdr w:val="single" w:sz="2" w:space="0" w:color="E5E7EB" w:frame="1"/>
          <w:lang w:eastAsia="en-GB"/>
        </w:rPr>
        <w:t>(S.M. Zafar, Understanding Statutes (2008 ed.) at Page 580).</w:t>
      </w:r>
    </w:p>
    <w:p w14:paraId="4DDF288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xml:space="preserve">The utility of the maxim to an interpreter could not be sufficiently underscored. It provides a simple hierarchy for one to remember: express words trump </w:t>
      </w:r>
      <w:proofErr w:type="gramStart"/>
      <w:r w:rsidRPr="00AC41B0">
        <w:rPr>
          <w:rFonts w:ascii="Arial" w:eastAsia="Times New Roman" w:hAnsi="Arial" w:cs="Arial"/>
          <w:color w:val="1F2937"/>
          <w:sz w:val="27"/>
          <w:szCs w:val="27"/>
          <w:lang w:eastAsia="en-GB"/>
        </w:rPr>
        <w:t>implications,</w:t>
      </w:r>
      <w:proofErr w:type="gramEnd"/>
      <w:r w:rsidRPr="00AC41B0">
        <w:rPr>
          <w:rFonts w:ascii="Arial" w:eastAsia="Times New Roman" w:hAnsi="Arial" w:cs="Arial"/>
          <w:color w:val="1F2937"/>
          <w:sz w:val="27"/>
          <w:szCs w:val="27"/>
          <w:lang w:eastAsia="en-GB"/>
        </w:rPr>
        <w:t xml:space="preserve"> however necessary the latter may be. In particular, in the context of its utility in the realm of “unconstitutional constitutional amendments”, specifically within our own domestic legal jurisprudence, the case is, demonstrably, no different.</w:t>
      </w:r>
    </w:p>
    <w:p w14:paraId="05231D0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Part I of the present endeavour, in essence, seeks to provide satisfactory answers to the following questions:</w:t>
      </w:r>
    </w:p>
    <w:p w14:paraId="2F1CBEA1"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1.  When the Constitution expressly states that “there is no limitation whatever on the power of the Majlis-e-</w:t>
      </w:r>
      <w:proofErr w:type="spellStart"/>
      <w:r w:rsidRPr="00AC41B0">
        <w:rPr>
          <w:rFonts w:ascii="Arial" w:eastAsia="Times New Roman" w:hAnsi="Arial" w:cs="Arial"/>
          <w:color w:val="1F2937"/>
          <w:sz w:val="27"/>
          <w:szCs w:val="27"/>
          <w:lang w:eastAsia="en-GB"/>
        </w:rPr>
        <w:t>Shoora</w:t>
      </w:r>
      <w:proofErr w:type="spellEnd"/>
      <w:r w:rsidRPr="00AC41B0">
        <w:rPr>
          <w:rFonts w:ascii="Arial" w:eastAsia="Times New Roman" w:hAnsi="Arial" w:cs="Arial"/>
          <w:color w:val="1F2937"/>
          <w:sz w:val="27"/>
          <w:szCs w:val="27"/>
          <w:lang w:eastAsia="en-GB"/>
        </w:rPr>
        <w:t xml:space="preserve"> (Parliament) to amend any of the provisions of the Constitution” can the “amendatory powers of the Parliament” be “subject to implied limitations”?</w:t>
      </w:r>
    </w:p>
    <w:p w14:paraId="7CC9E55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2.  Likewise, when the Constitution expressly states that no amendment of the Constitution “shall be called in question in any court on any ground whatsoever” is the Supreme Court really “vested with jurisdiction to examine the vires of any Constitutional Amendment so as to determine whether any of the Salient Features of the Constitution has been repealed, abrogated or substantively altered as a consequence thereof”?</w:t>
      </w:r>
    </w:p>
    <w:p w14:paraId="687096B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xml:space="preserve">It is humbly suggested that, if one were to stay faithful to the maxim </w:t>
      </w:r>
      <w:proofErr w:type="spellStart"/>
      <w:r w:rsidRPr="00AC41B0">
        <w:rPr>
          <w:rFonts w:ascii="Arial" w:eastAsia="Times New Roman" w:hAnsi="Arial" w:cs="Arial"/>
          <w:color w:val="1F2937"/>
          <w:sz w:val="27"/>
          <w:szCs w:val="27"/>
          <w:lang w:eastAsia="en-GB"/>
        </w:rPr>
        <w:t>expressum</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facit</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cessare</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tacitum</w:t>
      </w:r>
      <w:proofErr w:type="spellEnd"/>
      <w:r w:rsidRPr="00AC41B0">
        <w:rPr>
          <w:rFonts w:ascii="Arial" w:eastAsia="Times New Roman" w:hAnsi="Arial" w:cs="Arial"/>
          <w:color w:val="1F2937"/>
          <w:sz w:val="27"/>
          <w:szCs w:val="27"/>
          <w:lang w:eastAsia="en-GB"/>
        </w:rPr>
        <w:t>, the answer to both such questions can only, most emphatically, be in the negative.</w:t>
      </w:r>
    </w:p>
    <w:p w14:paraId="4253EA5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This is, of course, most concerning.</w:t>
      </w:r>
    </w:p>
    <w:p w14:paraId="2851D3F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In that the contrasting statements represent the respective stances of two pillars of the State (the Judiciary and the Parliament), on a matter of profound public importance, the friction therein provides glaring evidence of a constitutional power struggle, with neither side willing to concede any ground. Dubious provenance of Article 239(5) and (6) notwithstanding, the friction highlighted only emphasises the clauses’ status as a bulwark against any challenge to an “unconstitutional constitutional amendment”; and a willingness on the part of the judicial organ to actively by-pass the commandments contained therein in the appropriate facts and</w:t>
      </w:r>
      <w:r w:rsidRPr="00AC41B0">
        <w:rPr>
          <w:rFonts w:ascii="Arial" w:eastAsia="Times New Roman" w:hAnsi="Arial" w:cs="Arial"/>
          <w:color w:val="1F2937"/>
          <w:sz w:val="27"/>
          <w:szCs w:val="27"/>
          <w:lang w:eastAsia="en-GB"/>
        </w:rPr>
        <w:br/>
        <w:t>circumstances.</w:t>
      </w:r>
    </w:p>
    <w:p w14:paraId="663E563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Part II of the paper concludes our inquiry by revisiting the case against the application of the prohibition contained in Article 8(2) to constitutional amendments, suggesting that the same, viewed in juxtaposition with the Supreme Court’s jurisdiction under Article 184(3), perhaps, provides a more readily ascertainable and textual basis for challenging constitutional amendments, meriting deeper re-examination by the Supreme Court. </w:t>
      </w:r>
    </w:p>
    <w:p w14:paraId="007E7CD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F88C796"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Of course, most constitutional experts, when seeking to question the validity of a constitutional amendment, would, arguably, approach the problem with the following</w:t>
      </w:r>
      <w:r w:rsidRPr="00AC41B0">
        <w:rPr>
          <w:rFonts w:ascii="Arial" w:eastAsia="Times New Roman" w:hAnsi="Arial" w:cs="Arial"/>
          <w:color w:val="1F2937"/>
          <w:sz w:val="27"/>
          <w:szCs w:val="27"/>
          <w:lang w:eastAsia="en-GB"/>
        </w:rPr>
        <w:br/>
        <w:t>preliminary questions:</w:t>
      </w:r>
    </w:p>
    <w:p w14:paraId="0D5D79C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1. On what grounds may a constitutional amendment be questioned (the limitations aspect); and</w:t>
      </w:r>
      <w:r w:rsidRPr="00AC41B0">
        <w:rPr>
          <w:rFonts w:ascii="Arial" w:eastAsia="Times New Roman" w:hAnsi="Arial" w:cs="Arial"/>
          <w:color w:val="1F2937"/>
          <w:sz w:val="27"/>
          <w:szCs w:val="27"/>
          <w:lang w:eastAsia="en-GB"/>
        </w:rPr>
        <w:br/>
        <w:t> 2.  Before whom? (the jurisdictional aspect).</w:t>
      </w:r>
    </w:p>
    <w:p w14:paraId="56163DD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The limitations aspect</w:t>
      </w:r>
      <w:r w:rsidRPr="00AC41B0">
        <w:rPr>
          <w:rFonts w:ascii="Arial" w:eastAsia="Times New Roman" w:hAnsi="Arial" w:cs="Arial"/>
          <w:color w:val="1F2937"/>
          <w:sz w:val="27"/>
          <w:szCs w:val="27"/>
          <w:lang w:eastAsia="en-GB"/>
        </w:rPr>
        <w:br/>
        <w:t>Let us start with the basics. Any potential limitation on or prohibition pertaining to Parliament's amendatory power may be usefully classified in two distinct manners. They can either be:</w:t>
      </w:r>
    </w:p>
    <w:p w14:paraId="2E4F688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w:t>
      </w:r>
      <w:proofErr w:type="gramStart"/>
      <w:r w:rsidRPr="00AC41B0">
        <w:rPr>
          <w:rFonts w:ascii="Arial" w:eastAsia="Times New Roman" w:hAnsi="Arial" w:cs="Arial"/>
          <w:color w:val="1F2937"/>
          <w:sz w:val="27"/>
          <w:szCs w:val="27"/>
          <w:lang w:eastAsia="en-GB"/>
        </w:rPr>
        <w:t>1.  “</w:t>
      </w:r>
      <w:proofErr w:type="gramEnd"/>
      <w:r w:rsidRPr="00AC41B0">
        <w:rPr>
          <w:rFonts w:ascii="Arial" w:eastAsia="Times New Roman" w:hAnsi="Arial" w:cs="Arial"/>
          <w:color w:val="1F2937"/>
          <w:sz w:val="27"/>
          <w:szCs w:val="27"/>
          <w:lang w:eastAsia="en-GB"/>
        </w:rPr>
        <w:t>substantive” (limitations on subject matter); or</w:t>
      </w:r>
      <w:r w:rsidRPr="00AC41B0">
        <w:rPr>
          <w:rFonts w:ascii="Arial" w:eastAsia="Times New Roman" w:hAnsi="Arial" w:cs="Arial"/>
          <w:color w:val="1F2937"/>
          <w:sz w:val="27"/>
          <w:szCs w:val="27"/>
          <w:lang w:eastAsia="en-GB"/>
        </w:rPr>
        <w:br/>
        <w:t> 2. “procedural” (limitations with regards to the procedure to be followed).</w:t>
      </w:r>
    </w:p>
    <w:p w14:paraId="376A48D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Alternatively, they may be:</w:t>
      </w:r>
    </w:p>
    <w:p w14:paraId="0379C16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w:t>
      </w:r>
      <w:proofErr w:type="gramStart"/>
      <w:r w:rsidRPr="00AC41B0">
        <w:rPr>
          <w:rFonts w:ascii="Arial" w:eastAsia="Times New Roman" w:hAnsi="Arial" w:cs="Arial"/>
          <w:color w:val="1F2937"/>
          <w:sz w:val="27"/>
          <w:szCs w:val="27"/>
          <w:lang w:eastAsia="en-GB"/>
        </w:rPr>
        <w:t>1.  “</w:t>
      </w:r>
      <w:proofErr w:type="gramEnd"/>
      <w:r w:rsidRPr="00AC41B0">
        <w:rPr>
          <w:rFonts w:ascii="Arial" w:eastAsia="Times New Roman" w:hAnsi="Arial" w:cs="Arial"/>
          <w:color w:val="1F2937"/>
          <w:sz w:val="27"/>
          <w:szCs w:val="27"/>
          <w:lang w:eastAsia="en-GB"/>
        </w:rPr>
        <w:t>explicit” (provided by express words in the Constitution); or</w:t>
      </w:r>
      <w:r w:rsidRPr="00AC41B0">
        <w:rPr>
          <w:rFonts w:ascii="Arial" w:eastAsia="Times New Roman" w:hAnsi="Arial" w:cs="Arial"/>
          <w:color w:val="1F2937"/>
          <w:sz w:val="27"/>
          <w:szCs w:val="27"/>
          <w:lang w:eastAsia="en-GB"/>
        </w:rPr>
        <w:br/>
        <w:t> 2. “implied” (not provided expressly but arising by necessary implication).</w:t>
      </w:r>
    </w:p>
    <w:p w14:paraId="70FDE0C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Take for example the prohibition against amending the constitution in a manner contrary to the procedure provided in Article 239. This limitation has been recognised by the Supreme Court as early as in </w:t>
      </w:r>
      <w:hyperlink r:id="rId4" w:history="1">
        <w:r w:rsidRPr="00AC41B0">
          <w:rPr>
            <w:rFonts w:ascii="Arial" w:eastAsia="Times New Roman" w:hAnsi="Arial" w:cs="Arial"/>
            <w:b/>
            <w:bCs/>
            <w:color w:val="4D99E6"/>
            <w:sz w:val="27"/>
            <w:szCs w:val="27"/>
            <w:u w:val="single"/>
            <w:bdr w:val="single" w:sz="2" w:space="0" w:color="E5E7EB" w:frame="1"/>
            <w:lang w:eastAsia="en-GB"/>
          </w:rPr>
          <w:t>State v Zia-Ur-Rehman (PLD 1973 SC 49):</w:t>
        </w:r>
      </w:hyperlink>
      <w:r w:rsidRPr="00AC41B0">
        <w:rPr>
          <w:rFonts w:ascii="Arial" w:eastAsia="Times New Roman" w:hAnsi="Arial" w:cs="Arial"/>
          <w:color w:val="1F2937"/>
          <w:sz w:val="27"/>
          <w:szCs w:val="27"/>
          <w:lang w:eastAsia="en-GB"/>
        </w:rPr>
        <w:t>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“...If a Constitutional measure is adopted in a manner different to that prescribed in the Constitution itself or is passed by a lesser number of votes than those specified in the Constitution then the validity of such a measure may well be questioned and adjudicated upon...” </w:t>
      </w:r>
    </w:p>
    <w:p w14:paraId="56A4903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23CDC0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This view was reiterated in </w:t>
      </w:r>
      <w:hyperlink r:id="rId5" w:history="1">
        <w:r w:rsidRPr="00AC41B0">
          <w:rPr>
            <w:rFonts w:ascii="Arial" w:eastAsia="Times New Roman" w:hAnsi="Arial" w:cs="Arial"/>
            <w:b/>
            <w:bCs/>
            <w:color w:val="4D99E6"/>
            <w:sz w:val="27"/>
            <w:szCs w:val="27"/>
            <w:u w:val="single"/>
            <w:bdr w:val="single" w:sz="2" w:space="0" w:color="E5E7EB" w:frame="1"/>
            <w:lang w:eastAsia="en-GB"/>
          </w:rPr>
          <w:t xml:space="preserve">Abdul </w:t>
        </w:r>
        <w:proofErr w:type="spellStart"/>
        <w:r w:rsidRPr="00AC41B0">
          <w:rPr>
            <w:rFonts w:ascii="Arial" w:eastAsia="Times New Roman" w:hAnsi="Arial" w:cs="Arial"/>
            <w:b/>
            <w:bCs/>
            <w:color w:val="4D99E6"/>
            <w:sz w:val="27"/>
            <w:szCs w:val="27"/>
            <w:u w:val="single"/>
            <w:bdr w:val="single" w:sz="2" w:space="0" w:color="E5E7EB" w:frame="1"/>
            <w:lang w:eastAsia="en-GB"/>
          </w:rPr>
          <w:t>Wali</w:t>
        </w:r>
        <w:proofErr w:type="spellEnd"/>
        <w:r w:rsidRPr="00AC41B0">
          <w:rPr>
            <w:rFonts w:ascii="Arial" w:eastAsia="Times New Roman" w:hAnsi="Arial" w:cs="Arial"/>
            <w:b/>
            <w:bCs/>
            <w:color w:val="4D99E6"/>
            <w:sz w:val="27"/>
            <w:szCs w:val="27"/>
            <w:u w:val="single"/>
            <w:bdr w:val="single" w:sz="2" w:space="0" w:color="E5E7EB" w:frame="1"/>
            <w:lang w:eastAsia="en-GB"/>
          </w:rPr>
          <w:t xml:space="preserve"> Khan’s case (PLD 1976 SC 57)</w:t>
        </w:r>
      </w:hyperlink>
      <w:r w:rsidRPr="00AC41B0">
        <w:rPr>
          <w:rFonts w:ascii="Arial" w:eastAsia="Times New Roman" w:hAnsi="Arial" w:cs="Arial"/>
          <w:color w:val="1F2937"/>
          <w:sz w:val="27"/>
          <w:szCs w:val="27"/>
          <w:lang w:eastAsia="en-GB"/>
        </w:rPr>
        <w:t>, wherein it was observed: </w:t>
      </w:r>
    </w:p>
    <w:p w14:paraId="73D0E64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301F42C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“…but it is unnecessary for us to enter into this. controversy, as this Court is committed to the view that "the judiciary cannot declare any provision of the Constitution to be invalid or repugnant" to that national aspirations of the people and </w:t>
      </w:r>
      <w:r w:rsidRPr="00AC41B0">
        <w:rPr>
          <w:rFonts w:ascii="Arial" w:eastAsia="Times New Roman" w:hAnsi="Arial" w:cs="Arial"/>
          <w:b/>
          <w:bCs/>
          <w:i/>
          <w:iCs/>
          <w:color w:val="1F2937"/>
          <w:sz w:val="27"/>
          <w:szCs w:val="27"/>
          <w:u w:val="single"/>
          <w:bdr w:val="single" w:sz="2" w:space="0" w:color="E5E7EB" w:frame="1"/>
          <w:lang w:eastAsia="en-GB"/>
        </w:rPr>
        <w:t>the validity of a Constitutional amendment can only be challenged if it is adopted in a manner different to the prescribed by the Constitution or is passed by a lesser number of votes than those specified in the Constitution, vide </w:t>
      </w:r>
      <w:hyperlink r:id="rId6" w:history="1">
        <w:r w:rsidRPr="00AC41B0">
          <w:rPr>
            <w:rFonts w:ascii="Arial" w:eastAsia="Times New Roman" w:hAnsi="Arial" w:cs="Arial"/>
            <w:b/>
            <w:bCs/>
            <w:color w:val="4D99E6"/>
            <w:sz w:val="27"/>
            <w:szCs w:val="27"/>
            <w:u w:val="single"/>
            <w:bdr w:val="single" w:sz="2" w:space="0" w:color="E5E7EB" w:frame="1"/>
            <w:lang w:eastAsia="en-GB"/>
          </w:rPr>
          <w:t>State v Zia-Ur-Rehman (PLD 1973 SC 49)</w:t>
        </w:r>
      </w:hyperlink>
      <w:r w:rsidRPr="00AC41B0">
        <w:rPr>
          <w:rFonts w:ascii="Arial" w:eastAsia="Times New Roman" w:hAnsi="Arial" w:cs="Arial"/>
          <w:b/>
          <w:bCs/>
          <w:i/>
          <w:iCs/>
          <w:color w:val="1F2937"/>
          <w:sz w:val="27"/>
          <w:szCs w:val="27"/>
          <w:u w:val="single"/>
          <w:bdr w:val="single" w:sz="2" w:space="0" w:color="E5E7EB" w:frame="1"/>
          <w:lang w:eastAsia="en-GB"/>
        </w:rPr>
        <w:t>…”</w:t>
      </w:r>
    </w:p>
    <w:p w14:paraId="3A51CF5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u w:val="single"/>
          <w:bdr w:val="single" w:sz="2" w:space="0" w:color="E5E7EB" w:frame="1"/>
          <w:lang w:eastAsia="en-GB"/>
        </w:rPr>
        <w:t>(Emphasis Supplied)</w:t>
      </w:r>
    </w:p>
    <w:p w14:paraId="6F8C30E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703C976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So, too, was it confirmed in</w:t>
      </w:r>
      <w:r w:rsidRPr="00AC41B0">
        <w:rPr>
          <w:rFonts w:ascii="Arial" w:eastAsia="Times New Roman" w:hAnsi="Arial" w:cs="Arial"/>
          <w:color w:val="4D99E6"/>
          <w:sz w:val="27"/>
          <w:szCs w:val="27"/>
          <w:bdr w:val="single" w:sz="2" w:space="0" w:color="E5E7EB" w:frame="1"/>
          <w:lang w:eastAsia="en-GB"/>
        </w:rPr>
        <w:t> </w:t>
      </w:r>
      <w:r w:rsidRPr="00AC41B0">
        <w:rPr>
          <w:rFonts w:ascii="Arial" w:eastAsia="Times New Roman" w:hAnsi="Arial" w:cs="Arial"/>
          <w:b/>
          <w:bCs/>
          <w:i/>
          <w:iCs/>
          <w:color w:val="000000"/>
          <w:sz w:val="27"/>
          <w:szCs w:val="27"/>
          <w:u w:val="single"/>
          <w:bdr w:val="single" w:sz="2" w:space="0" w:color="E5E7EB" w:frame="1"/>
          <w:lang w:eastAsia="en-GB"/>
        </w:rPr>
        <w:t>the United Sugar Mills case (PLD 1977 SC 397)</w:t>
      </w:r>
      <w:r w:rsidRPr="00AC41B0">
        <w:rPr>
          <w:rFonts w:ascii="Arial" w:eastAsia="Times New Roman" w:hAnsi="Arial" w:cs="Arial"/>
          <w:i/>
          <w:iCs/>
          <w:color w:val="1F2937"/>
          <w:sz w:val="27"/>
          <w:szCs w:val="27"/>
          <w:bdr w:val="single" w:sz="2" w:space="0" w:color="E5E7EB" w:frame="1"/>
          <w:lang w:eastAsia="en-GB"/>
        </w:rPr>
        <w:t>;</w:t>
      </w:r>
      <w:r w:rsidRPr="00AC41B0">
        <w:rPr>
          <w:rFonts w:ascii="Arial" w:eastAsia="Times New Roman" w:hAnsi="Arial" w:cs="Arial"/>
          <w:color w:val="1F2937"/>
          <w:sz w:val="27"/>
          <w:szCs w:val="27"/>
          <w:lang w:eastAsia="en-GB"/>
        </w:rPr>
        <w:t> the Court held that: </w:t>
      </w:r>
      <w:r w:rsidRPr="00AC41B0">
        <w:rPr>
          <w:rFonts w:ascii="Arial" w:eastAsia="Times New Roman" w:hAnsi="Arial" w:cs="Arial"/>
          <w:color w:val="1F2937"/>
          <w:sz w:val="27"/>
          <w:szCs w:val="27"/>
          <w:lang w:eastAsia="en-GB"/>
        </w:rPr>
        <w:br/>
        <w:t> </w:t>
      </w:r>
    </w:p>
    <w:p w14:paraId="5F8A59D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“In Pakistan, this Court in the case of </w:t>
      </w:r>
      <w:hyperlink r:id="rId7" w:history="1">
        <w:r w:rsidRPr="00AC41B0">
          <w:rPr>
            <w:rFonts w:ascii="Arial" w:eastAsia="Times New Roman" w:hAnsi="Arial" w:cs="Arial"/>
            <w:b/>
            <w:bCs/>
            <w:color w:val="4D99E6"/>
            <w:sz w:val="27"/>
            <w:szCs w:val="27"/>
            <w:u w:val="single"/>
            <w:bdr w:val="single" w:sz="2" w:space="0" w:color="E5E7EB" w:frame="1"/>
            <w:lang w:eastAsia="en-GB"/>
          </w:rPr>
          <w:t>Zia-Ur-Rehman (PLD 1973 SC 49)</w:t>
        </w:r>
      </w:hyperlink>
      <w:r w:rsidRPr="00AC41B0">
        <w:rPr>
          <w:rFonts w:ascii="Arial" w:eastAsia="Times New Roman" w:hAnsi="Arial" w:cs="Arial"/>
          <w:color w:val="1F2937"/>
          <w:sz w:val="27"/>
          <w:szCs w:val="27"/>
          <w:lang w:eastAsia="en-GB"/>
        </w:rPr>
        <w:t> has however firmly laid down the principle that a constitutional provision cannot be challenged on the ground of being repugnant to what are sometimes stated as "national inspirations" or an "abstract concept" </w:t>
      </w:r>
      <w:r w:rsidRPr="00AC41B0">
        <w:rPr>
          <w:rFonts w:ascii="Arial" w:eastAsia="Times New Roman" w:hAnsi="Arial" w:cs="Arial"/>
          <w:b/>
          <w:bCs/>
          <w:i/>
          <w:iCs/>
          <w:color w:val="1F2937"/>
          <w:sz w:val="27"/>
          <w:szCs w:val="27"/>
          <w:u w:val="single"/>
          <w:bdr w:val="single" w:sz="2" w:space="0" w:color="E5E7EB" w:frame="1"/>
          <w:lang w:eastAsia="en-GB"/>
        </w:rPr>
        <w:t>so long as the provision is passed by the competent Legislature in accordance with the procedure laid down by the Constitution or a supra constitutional instrument. In the instant case, the two amendments are not questioned for want of competency or any other formal defect.”</w:t>
      </w:r>
    </w:p>
    <w:p w14:paraId="59A6335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color w:val="1F2937"/>
          <w:sz w:val="27"/>
          <w:szCs w:val="27"/>
          <w:bdr w:val="single" w:sz="2" w:space="0" w:color="E5E7EB" w:frame="1"/>
          <w:lang w:eastAsia="en-GB"/>
        </w:rPr>
        <w:t>  </w:t>
      </w:r>
      <w:r w:rsidRPr="00AC41B0">
        <w:rPr>
          <w:rFonts w:ascii="Arial" w:eastAsia="Times New Roman" w:hAnsi="Arial" w:cs="Arial"/>
          <w:b/>
          <w:bCs/>
          <w:i/>
          <w:iCs/>
          <w:color w:val="1F2937"/>
          <w:sz w:val="27"/>
          <w:szCs w:val="27"/>
          <w:u w:val="single"/>
          <w:bdr w:val="single" w:sz="2" w:space="0" w:color="E5E7EB" w:frame="1"/>
          <w:lang w:eastAsia="en-GB"/>
        </w:rPr>
        <w:t>(Emphasis Supplied)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Even the High Courts endorsed this view. In</w:t>
      </w:r>
      <w:r w:rsidRPr="00AC41B0">
        <w:rPr>
          <w:rFonts w:ascii="Arial" w:eastAsia="Times New Roman" w:hAnsi="Arial" w:cs="Arial"/>
          <w:b/>
          <w:bCs/>
          <w:color w:val="1F2937"/>
          <w:sz w:val="27"/>
          <w:szCs w:val="27"/>
          <w:bdr w:val="single" w:sz="2" w:space="0" w:color="E5E7EB" w:frame="1"/>
          <w:lang w:eastAsia="en-GB"/>
        </w:rPr>
        <w:t> </w:t>
      </w:r>
      <w:hyperlink r:id="rId8" w:history="1">
        <w:r w:rsidRPr="00AC41B0">
          <w:rPr>
            <w:rFonts w:ascii="Arial" w:eastAsia="Times New Roman" w:hAnsi="Arial" w:cs="Arial"/>
            <w:b/>
            <w:bCs/>
            <w:color w:val="4D99E6"/>
            <w:sz w:val="27"/>
            <w:szCs w:val="27"/>
            <w:u w:val="single"/>
            <w:bdr w:val="single" w:sz="2" w:space="0" w:color="E5E7EB" w:frame="1"/>
            <w:lang w:eastAsia="en-GB"/>
          </w:rPr>
          <w:t>Dewan Textile Mills Ltd. v Federation (PLD 1976 Kar 1368)</w:t>
        </w:r>
      </w:hyperlink>
      <w:r w:rsidRPr="00AC41B0">
        <w:rPr>
          <w:rFonts w:ascii="Arial" w:eastAsia="Times New Roman" w:hAnsi="Arial" w:cs="Arial"/>
          <w:b/>
          <w:bCs/>
          <w:color w:val="1F2937"/>
          <w:sz w:val="27"/>
          <w:szCs w:val="27"/>
          <w:bdr w:val="single" w:sz="2" w:space="0" w:color="E5E7EB" w:frame="1"/>
          <w:lang w:eastAsia="en-GB"/>
        </w:rPr>
        <w:t>,</w:t>
      </w:r>
      <w:r w:rsidRPr="00AC41B0">
        <w:rPr>
          <w:rFonts w:ascii="Arial" w:eastAsia="Times New Roman" w:hAnsi="Arial" w:cs="Arial"/>
          <w:color w:val="1F2937"/>
          <w:sz w:val="27"/>
          <w:szCs w:val="27"/>
          <w:lang w:eastAsia="en-GB"/>
        </w:rPr>
        <w:t> the Sindh High Court observed: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r>
      <w:r w:rsidRPr="00AC41B0">
        <w:rPr>
          <w:rFonts w:ascii="Arial" w:eastAsia="Times New Roman" w:hAnsi="Arial" w:cs="Arial"/>
          <w:b/>
          <w:bCs/>
          <w:i/>
          <w:iCs/>
          <w:color w:val="1F2937"/>
          <w:sz w:val="27"/>
          <w:szCs w:val="27"/>
          <w:u w:val="single"/>
          <w:bdr w:val="single" w:sz="2" w:space="0" w:color="E5E7EB" w:frame="1"/>
          <w:lang w:eastAsia="en-GB"/>
        </w:rPr>
        <w:t>“…it becomes obvious that an amendment to the Constitution has same validity as the Constitution itself, although the question whether the amendment has been made in the manner and form and even the power conferred by the Constitution is always justiciable…”</w:t>
      </w:r>
    </w:p>
    <w:p w14:paraId="580CC2C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u w:val="single"/>
          <w:bdr w:val="single" w:sz="2" w:space="0" w:color="E5E7EB" w:frame="1"/>
          <w:lang w:eastAsia="en-GB"/>
        </w:rPr>
        <w:t>(Emphasis Supplied) </w:t>
      </w:r>
    </w:p>
    <w:p w14:paraId="7C99709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2581F77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5FFBEE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This limitation is obviously “procedural”. It does not concern itself with the subject matter of the amendment: it only requires that the procedure provided for amendment be followed. The prohibition, however, is also “implied”. The Constitution does not expressly state that Parliament shall not amend the Constitution in a contrary manner; or that any amendment that does not conform to the procedure provided will be void. This is but a “necessary negative implication” of providing a special procedure for amending the Constitution. When the law requires that a particular thing should be done in a particular manner, it must be done in that manner and not otherwise (please see, inter alia, </w:t>
      </w:r>
      <w:r w:rsidRPr="00AC41B0">
        <w:rPr>
          <w:rFonts w:ascii="Arial" w:eastAsia="Times New Roman" w:hAnsi="Arial" w:cs="Arial"/>
          <w:b/>
          <w:bCs/>
          <w:i/>
          <w:iCs/>
          <w:color w:val="1F2937"/>
          <w:sz w:val="27"/>
          <w:szCs w:val="27"/>
          <w:bdr w:val="single" w:sz="2" w:space="0" w:color="E5E7EB" w:frame="1"/>
          <w:lang w:eastAsia="en-GB"/>
        </w:rPr>
        <w:t>Nadir</w:t>
      </w: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Khan v Qadir Hussain etc. </w:t>
      </w:r>
      <w:hyperlink r:id="rId9" w:history="1">
        <w:r w:rsidRPr="00AC41B0">
          <w:rPr>
            <w:rFonts w:ascii="Arial" w:eastAsia="Times New Roman" w:hAnsi="Arial" w:cs="Arial"/>
            <w:b/>
            <w:bCs/>
            <w:color w:val="4D99E6"/>
            <w:sz w:val="27"/>
            <w:szCs w:val="27"/>
            <w:u w:val="single"/>
            <w:bdr w:val="single" w:sz="2" w:space="0" w:color="E5E7EB" w:frame="1"/>
            <w:lang w:eastAsia="en-GB"/>
          </w:rPr>
          <w:t>(2024 SCMR 770 at Paragraph 9)</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Messrs Tri-Star Industries (</w:t>
      </w:r>
      <w:proofErr w:type="spellStart"/>
      <w:r w:rsidRPr="00AC41B0">
        <w:rPr>
          <w:rFonts w:ascii="Arial" w:eastAsia="Times New Roman" w:hAnsi="Arial" w:cs="Arial"/>
          <w:b/>
          <w:bCs/>
          <w:i/>
          <w:iCs/>
          <w:color w:val="1F2937"/>
          <w:sz w:val="27"/>
          <w:szCs w:val="27"/>
          <w:bdr w:val="single" w:sz="2" w:space="0" w:color="E5E7EB" w:frame="1"/>
          <w:lang w:eastAsia="en-GB"/>
        </w:rPr>
        <w:t>Pvt.</w:t>
      </w:r>
      <w:proofErr w:type="spellEnd"/>
      <w:r w:rsidRPr="00AC41B0">
        <w:rPr>
          <w:rFonts w:ascii="Arial" w:eastAsia="Times New Roman" w:hAnsi="Arial" w:cs="Arial"/>
          <w:b/>
          <w:bCs/>
          <w:i/>
          <w:iCs/>
          <w:color w:val="1F2937"/>
          <w:sz w:val="27"/>
          <w:szCs w:val="27"/>
          <w:bdr w:val="single" w:sz="2" w:space="0" w:color="E5E7EB" w:frame="1"/>
          <w:lang w:eastAsia="en-GB"/>
        </w:rPr>
        <w:t xml:space="preserve">) Ltd. v </w:t>
      </w:r>
      <w:proofErr w:type="spellStart"/>
      <w:r w:rsidRPr="00AC41B0">
        <w:rPr>
          <w:rFonts w:ascii="Arial" w:eastAsia="Times New Roman" w:hAnsi="Arial" w:cs="Arial"/>
          <w:b/>
          <w:bCs/>
          <w:i/>
          <w:iCs/>
          <w:color w:val="1F2937"/>
          <w:sz w:val="27"/>
          <w:szCs w:val="27"/>
          <w:bdr w:val="single" w:sz="2" w:space="0" w:color="E5E7EB" w:frame="1"/>
          <w:lang w:eastAsia="en-GB"/>
        </w:rPr>
        <w:t>Trisa</w:t>
      </w:r>
      <w:proofErr w:type="spellEnd"/>
      <w:r w:rsidRPr="00AC41B0">
        <w:rPr>
          <w:rFonts w:ascii="Arial" w:eastAsia="Times New Roman" w:hAnsi="Arial" w:cs="Arial"/>
          <w:b/>
          <w:bCs/>
          <w:i/>
          <w:iCs/>
          <w:color w:val="1F2937"/>
          <w:sz w:val="27"/>
          <w:szCs w:val="27"/>
          <w:bdr w:val="single" w:sz="2" w:space="0" w:color="E5E7EB" w:frame="1"/>
          <w:lang w:eastAsia="en-GB"/>
        </w:rPr>
        <w:t xml:space="preserve"> </w:t>
      </w:r>
      <w:proofErr w:type="spellStart"/>
      <w:r w:rsidRPr="00AC41B0">
        <w:rPr>
          <w:rFonts w:ascii="Arial" w:eastAsia="Times New Roman" w:hAnsi="Arial" w:cs="Arial"/>
          <w:b/>
          <w:bCs/>
          <w:i/>
          <w:iCs/>
          <w:color w:val="1F2937"/>
          <w:sz w:val="27"/>
          <w:szCs w:val="27"/>
          <w:bdr w:val="single" w:sz="2" w:space="0" w:color="E5E7EB" w:frame="1"/>
          <w:lang w:eastAsia="en-GB"/>
        </w:rPr>
        <w:t>Burstenfabrik</w:t>
      </w:r>
      <w:proofErr w:type="spellEnd"/>
      <w:r w:rsidRPr="00AC41B0">
        <w:rPr>
          <w:rFonts w:ascii="Arial" w:eastAsia="Times New Roman" w:hAnsi="Arial" w:cs="Arial"/>
          <w:b/>
          <w:bCs/>
          <w:i/>
          <w:iCs/>
          <w:color w:val="1F2937"/>
          <w:sz w:val="27"/>
          <w:szCs w:val="27"/>
          <w:bdr w:val="single" w:sz="2" w:space="0" w:color="E5E7EB" w:frame="1"/>
          <w:lang w:eastAsia="en-GB"/>
        </w:rPr>
        <w:t xml:space="preserve"> AG </w:t>
      </w:r>
      <w:proofErr w:type="spellStart"/>
      <w:r w:rsidRPr="00AC41B0">
        <w:rPr>
          <w:rFonts w:ascii="Arial" w:eastAsia="Times New Roman" w:hAnsi="Arial" w:cs="Arial"/>
          <w:b/>
          <w:bCs/>
          <w:i/>
          <w:iCs/>
          <w:color w:val="1F2937"/>
          <w:sz w:val="27"/>
          <w:szCs w:val="27"/>
          <w:bdr w:val="single" w:sz="2" w:space="0" w:color="E5E7EB" w:frame="1"/>
          <w:lang w:eastAsia="en-GB"/>
        </w:rPr>
        <w:t>Triengen</w:t>
      </w:r>
      <w:proofErr w:type="spellEnd"/>
      <w:r w:rsidRPr="00AC41B0">
        <w:rPr>
          <w:rFonts w:ascii="Arial" w:eastAsia="Times New Roman" w:hAnsi="Arial" w:cs="Arial"/>
          <w:b/>
          <w:bCs/>
          <w:i/>
          <w:iCs/>
          <w:color w:val="1F2937"/>
          <w:sz w:val="27"/>
          <w:szCs w:val="27"/>
          <w:bdr w:val="single" w:sz="2" w:space="0" w:color="E5E7EB" w:frame="1"/>
          <w:lang w:eastAsia="en-GB"/>
        </w:rPr>
        <w:t xml:space="preserve"> and another </w:t>
      </w:r>
      <w:hyperlink r:id="rId10" w:history="1">
        <w:r w:rsidRPr="00AC41B0">
          <w:rPr>
            <w:rFonts w:ascii="Arial" w:eastAsia="Times New Roman" w:hAnsi="Arial" w:cs="Arial"/>
            <w:b/>
            <w:bCs/>
            <w:color w:val="4D99E6"/>
            <w:sz w:val="27"/>
            <w:szCs w:val="27"/>
            <w:u w:val="single"/>
            <w:bdr w:val="single" w:sz="2" w:space="0" w:color="E5E7EB" w:frame="1"/>
            <w:lang w:eastAsia="en-GB"/>
          </w:rPr>
          <w:t>(2023 SCMR 1502 at Paragraph 10)</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Mall Development (</w:t>
      </w:r>
      <w:proofErr w:type="spellStart"/>
      <w:r w:rsidRPr="00AC41B0">
        <w:rPr>
          <w:rFonts w:ascii="Arial" w:eastAsia="Times New Roman" w:hAnsi="Arial" w:cs="Arial"/>
          <w:b/>
          <w:bCs/>
          <w:i/>
          <w:iCs/>
          <w:color w:val="1F2937"/>
          <w:sz w:val="27"/>
          <w:szCs w:val="27"/>
          <w:bdr w:val="single" w:sz="2" w:space="0" w:color="E5E7EB" w:frame="1"/>
          <w:lang w:eastAsia="en-GB"/>
        </w:rPr>
        <w:t>Pvt.</w:t>
      </w:r>
      <w:proofErr w:type="spellEnd"/>
      <w:r w:rsidRPr="00AC41B0">
        <w:rPr>
          <w:rFonts w:ascii="Arial" w:eastAsia="Times New Roman" w:hAnsi="Arial" w:cs="Arial"/>
          <w:b/>
          <w:bCs/>
          <w:i/>
          <w:iCs/>
          <w:color w:val="1F2937"/>
          <w:sz w:val="27"/>
          <w:szCs w:val="27"/>
          <w:bdr w:val="single" w:sz="2" w:space="0" w:color="E5E7EB" w:frame="1"/>
          <w:lang w:eastAsia="en-GB"/>
        </w:rPr>
        <w:t xml:space="preserve">) Ltd. v Waleed </w:t>
      </w:r>
      <w:proofErr w:type="spellStart"/>
      <w:r w:rsidRPr="00AC41B0">
        <w:rPr>
          <w:rFonts w:ascii="Arial" w:eastAsia="Times New Roman" w:hAnsi="Arial" w:cs="Arial"/>
          <w:b/>
          <w:bCs/>
          <w:i/>
          <w:iCs/>
          <w:color w:val="1F2937"/>
          <w:sz w:val="27"/>
          <w:szCs w:val="27"/>
          <w:bdr w:val="single" w:sz="2" w:space="0" w:color="E5E7EB" w:frame="1"/>
          <w:lang w:eastAsia="en-GB"/>
        </w:rPr>
        <w:t>Khanzada</w:t>
      </w:r>
      <w:proofErr w:type="spellEnd"/>
      <w:r w:rsidRPr="00AC41B0">
        <w:rPr>
          <w:rFonts w:ascii="Arial" w:eastAsia="Times New Roman" w:hAnsi="Arial" w:cs="Arial"/>
          <w:b/>
          <w:bCs/>
          <w:i/>
          <w:iCs/>
          <w:color w:val="1F2937"/>
          <w:sz w:val="27"/>
          <w:szCs w:val="27"/>
          <w:bdr w:val="single" w:sz="2" w:space="0" w:color="E5E7EB" w:frame="1"/>
          <w:lang w:eastAsia="en-GB"/>
        </w:rPr>
        <w:t xml:space="preserve"> etc. </w:t>
      </w:r>
      <w:r w:rsidRPr="00AC41B0">
        <w:rPr>
          <w:rFonts w:ascii="Arial" w:eastAsia="Times New Roman" w:hAnsi="Arial" w:cs="Arial"/>
          <w:b/>
          <w:bCs/>
          <w:color w:val="1F2937"/>
          <w:sz w:val="27"/>
          <w:szCs w:val="27"/>
          <w:u w:val="single"/>
          <w:bdr w:val="single" w:sz="2" w:space="0" w:color="E5E7EB" w:frame="1"/>
          <w:lang w:eastAsia="en-GB"/>
        </w:rPr>
        <w:t>(2022 SCMR 2080 at Paragraph 14)</w:t>
      </w: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Federation of Pakistan v E-Movers (</w:t>
      </w:r>
      <w:proofErr w:type="spellStart"/>
      <w:r w:rsidRPr="00AC41B0">
        <w:rPr>
          <w:rFonts w:ascii="Arial" w:eastAsia="Times New Roman" w:hAnsi="Arial" w:cs="Arial"/>
          <w:b/>
          <w:bCs/>
          <w:i/>
          <w:iCs/>
          <w:color w:val="1F2937"/>
          <w:sz w:val="27"/>
          <w:szCs w:val="27"/>
          <w:bdr w:val="single" w:sz="2" w:space="0" w:color="E5E7EB" w:frame="1"/>
          <w:lang w:eastAsia="en-GB"/>
        </w:rPr>
        <w:t>Pvt.</w:t>
      </w:r>
      <w:proofErr w:type="spellEnd"/>
      <w:r w:rsidRPr="00AC41B0">
        <w:rPr>
          <w:rFonts w:ascii="Arial" w:eastAsia="Times New Roman" w:hAnsi="Arial" w:cs="Arial"/>
          <w:b/>
          <w:bCs/>
          <w:i/>
          <w:iCs/>
          <w:color w:val="1F2937"/>
          <w:sz w:val="27"/>
          <w:szCs w:val="27"/>
          <w:bdr w:val="single" w:sz="2" w:space="0" w:color="E5E7EB" w:frame="1"/>
          <w:lang w:eastAsia="en-GB"/>
        </w:rPr>
        <w:t>) Ltd. </w:t>
      </w:r>
      <w:hyperlink r:id="rId11" w:history="1">
        <w:r w:rsidRPr="00AC41B0">
          <w:rPr>
            <w:rFonts w:ascii="Arial" w:eastAsia="Times New Roman" w:hAnsi="Arial" w:cs="Arial"/>
            <w:b/>
            <w:bCs/>
            <w:color w:val="4D99E6"/>
            <w:sz w:val="27"/>
            <w:szCs w:val="27"/>
            <w:u w:val="single"/>
            <w:bdr w:val="single" w:sz="2" w:space="0" w:color="E5E7EB" w:frame="1"/>
            <w:lang w:eastAsia="en-GB"/>
          </w:rPr>
          <w:t>(2022 SCMR 1021 at Paragraph 24)</w:t>
        </w:r>
      </w:hyperlink>
      <w:r w:rsidRPr="00AC41B0">
        <w:rPr>
          <w:rFonts w:ascii="Arial" w:eastAsia="Times New Roman" w:hAnsi="Arial" w:cs="Arial"/>
          <w:color w:val="1F2937"/>
          <w:sz w:val="27"/>
          <w:szCs w:val="27"/>
          <w:lang w:eastAsia="en-GB"/>
        </w:rPr>
        <w:t>; </w:t>
      </w:r>
      <w:proofErr w:type="spellStart"/>
      <w:r w:rsidRPr="00AC41B0">
        <w:rPr>
          <w:rFonts w:ascii="Arial" w:eastAsia="Times New Roman" w:hAnsi="Arial" w:cs="Arial"/>
          <w:b/>
          <w:bCs/>
          <w:i/>
          <w:iCs/>
          <w:color w:val="1F2937"/>
          <w:sz w:val="27"/>
          <w:szCs w:val="27"/>
          <w:bdr w:val="single" w:sz="2" w:space="0" w:color="E5E7EB" w:frame="1"/>
          <w:lang w:eastAsia="en-GB"/>
        </w:rPr>
        <w:t>Attaullah</w:t>
      </w:r>
      <w:proofErr w:type="spellEnd"/>
      <w:r w:rsidRPr="00AC41B0">
        <w:rPr>
          <w:rFonts w:ascii="Arial" w:eastAsia="Times New Roman" w:hAnsi="Arial" w:cs="Arial"/>
          <w:b/>
          <w:bCs/>
          <w:i/>
          <w:iCs/>
          <w:color w:val="1F2937"/>
          <w:sz w:val="27"/>
          <w:szCs w:val="27"/>
          <w:bdr w:val="single" w:sz="2" w:space="0" w:color="E5E7EB" w:frame="1"/>
          <w:lang w:eastAsia="en-GB"/>
        </w:rPr>
        <w:t xml:space="preserve"> Khan v Ali Azam Afridi </w:t>
      </w:r>
      <w:hyperlink r:id="rId12" w:history="1">
        <w:r w:rsidRPr="00AC41B0">
          <w:rPr>
            <w:rFonts w:ascii="Arial" w:eastAsia="Times New Roman" w:hAnsi="Arial" w:cs="Arial"/>
            <w:b/>
            <w:bCs/>
            <w:color w:val="4D99E6"/>
            <w:sz w:val="27"/>
            <w:szCs w:val="27"/>
            <w:u w:val="single"/>
            <w:bdr w:val="single" w:sz="2" w:space="0" w:color="E5E7EB" w:frame="1"/>
            <w:lang w:eastAsia="en-GB"/>
          </w:rPr>
          <w:t>(2021 SCMR 1979 at Paragraph 5)</w:t>
        </w:r>
      </w:hyperlink>
      <w:r w:rsidRPr="00AC41B0">
        <w:rPr>
          <w:rFonts w:ascii="Arial" w:eastAsia="Times New Roman" w:hAnsi="Arial" w:cs="Arial"/>
          <w:color w:val="1F2937"/>
          <w:sz w:val="27"/>
          <w:szCs w:val="27"/>
          <w:lang w:eastAsia="en-GB"/>
        </w:rPr>
        <w:t>; </w:t>
      </w:r>
      <w:proofErr w:type="spellStart"/>
      <w:r w:rsidRPr="00AC41B0">
        <w:rPr>
          <w:rFonts w:ascii="Arial" w:eastAsia="Times New Roman" w:hAnsi="Arial" w:cs="Arial"/>
          <w:b/>
          <w:bCs/>
          <w:i/>
          <w:iCs/>
          <w:color w:val="1F2937"/>
          <w:sz w:val="27"/>
          <w:szCs w:val="27"/>
          <w:bdr w:val="single" w:sz="2" w:space="0" w:color="E5E7EB" w:frame="1"/>
          <w:lang w:eastAsia="en-GB"/>
        </w:rPr>
        <w:t>Ajmir</w:t>
      </w:r>
      <w:proofErr w:type="spellEnd"/>
      <w:r w:rsidRPr="00AC41B0">
        <w:rPr>
          <w:rFonts w:ascii="Arial" w:eastAsia="Times New Roman" w:hAnsi="Arial" w:cs="Arial"/>
          <w:b/>
          <w:bCs/>
          <w:i/>
          <w:iCs/>
          <w:color w:val="1F2937"/>
          <w:sz w:val="27"/>
          <w:szCs w:val="27"/>
          <w:bdr w:val="single" w:sz="2" w:space="0" w:color="E5E7EB" w:frame="1"/>
          <w:lang w:eastAsia="en-GB"/>
        </w:rPr>
        <w:t xml:space="preserve"> Shah v I.G.F.C. K.P. </w:t>
      </w:r>
      <w:hyperlink r:id="rId13" w:history="1">
        <w:r w:rsidRPr="00AC41B0">
          <w:rPr>
            <w:rFonts w:ascii="Arial" w:eastAsia="Times New Roman" w:hAnsi="Arial" w:cs="Arial"/>
            <w:b/>
            <w:bCs/>
            <w:color w:val="4D99E6"/>
            <w:sz w:val="27"/>
            <w:szCs w:val="27"/>
            <w:u w:val="single"/>
            <w:bdr w:val="single" w:sz="2" w:space="0" w:color="E5E7EB" w:frame="1"/>
            <w:lang w:eastAsia="en-GB"/>
          </w:rPr>
          <w:t>(2020 SCMR 2129 at Paragraph 9)</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 xml:space="preserve">Muhammad Hanif Abbasi v Imran Khan </w:t>
      </w:r>
      <w:proofErr w:type="spellStart"/>
      <w:r w:rsidRPr="00AC41B0">
        <w:rPr>
          <w:rFonts w:ascii="Arial" w:eastAsia="Times New Roman" w:hAnsi="Arial" w:cs="Arial"/>
          <w:b/>
          <w:bCs/>
          <w:i/>
          <w:iCs/>
          <w:color w:val="1F2937"/>
          <w:sz w:val="27"/>
          <w:szCs w:val="27"/>
          <w:bdr w:val="single" w:sz="2" w:space="0" w:color="E5E7EB" w:frame="1"/>
          <w:lang w:eastAsia="en-GB"/>
        </w:rPr>
        <w:t>Niazi</w:t>
      </w:r>
      <w:proofErr w:type="spellEnd"/>
      <w:r w:rsidRPr="00AC41B0">
        <w:rPr>
          <w:rFonts w:ascii="Arial" w:eastAsia="Times New Roman" w:hAnsi="Arial" w:cs="Arial"/>
          <w:b/>
          <w:bCs/>
          <w:i/>
          <w:iCs/>
          <w:color w:val="1F2937"/>
          <w:sz w:val="27"/>
          <w:szCs w:val="27"/>
          <w:bdr w:val="single" w:sz="2" w:space="0" w:color="E5E7EB" w:frame="1"/>
          <w:lang w:eastAsia="en-GB"/>
        </w:rPr>
        <w:t> </w:t>
      </w:r>
      <w:hyperlink r:id="rId14" w:history="1">
        <w:r w:rsidRPr="00AC41B0">
          <w:rPr>
            <w:rFonts w:ascii="Arial" w:eastAsia="Times New Roman" w:hAnsi="Arial" w:cs="Arial"/>
            <w:b/>
            <w:bCs/>
            <w:color w:val="4D99E6"/>
            <w:sz w:val="27"/>
            <w:szCs w:val="27"/>
            <w:u w:val="single"/>
            <w:bdr w:val="single" w:sz="2" w:space="0" w:color="E5E7EB" w:frame="1"/>
            <w:lang w:eastAsia="en-GB"/>
          </w:rPr>
          <w:t>(PLD 2018 SC 189 at Paragraph 55)</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Shahida Bibi v Habib Bank Limited </w:t>
      </w:r>
      <w:hyperlink r:id="rId15" w:history="1">
        <w:r w:rsidRPr="00AC41B0">
          <w:rPr>
            <w:rFonts w:ascii="Arial" w:eastAsia="Times New Roman" w:hAnsi="Arial" w:cs="Arial"/>
            <w:b/>
            <w:bCs/>
            <w:color w:val="4D99E6"/>
            <w:sz w:val="27"/>
            <w:szCs w:val="27"/>
            <w:u w:val="single"/>
            <w:bdr w:val="single" w:sz="2" w:space="0" w:color="E5E7EB" w:frame="1"/>
            <w:lang w:eastAsia="en-GB"/>
          </w:rPr>
          <w:t>(PLD 2016 SC 995 at Paragraph 9)</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Zia-Ur-Rehman v Syed Ahmed Hussain </w:t>
      </w:r>
      <w:hyperlink r:id="rId16" w:history="1">
        <w:r w:rsidRPr="00AC41B0">
          <w:rPr>
            <w:rFonts w:ascii="Arial" w:eastAsia="Times New Roman" w:hAnsi="Arial" w:cs="Arial"/>
            <w:b/>
            <w:bCs/>
            <w:color w:val="4D99E6"/>
            <w:sz w:val="27"/>
            <w:szCs w:val="27"/>
            <w:u w:val="single"/>
            <w:bdr w:val="single" w:sz="2" w:space="0" w:color="E5E7EB" w:frame="1"/>
            <w:lang w:eastAsia="en-GB"/>
          </w:rPr>
          <w:t>(2014 SCMR 1015 at Paragraph 10)</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 xml:space="preserve">Muhammad Anwar etc. v </w:t>
      </w:r>
      <w:proofErr w:type="spellStart"/>
      <w:r w:rsidRPr="00AC41B0">
        <w:rPr>
          <w:rFonts w:ascii="Arial" w:eastAsia="Times New Roman" w:hAnsi="Arial" w:cs="Arial"/>
          <w:b/>
          <w:bCs/>
          <w:i/>
          <w:iCs/>
          <w:color w:val="1F2937"/>
          <w:sz w:val="27"/>
          <w:szCs w:val="27"/>
          <w:bdr w:val="single" w:sz="2" w:space="0" w:color="E5E7EB" w:frame="1"/>
          <w:lang w:eastAsia="en-GB"/>
        </w:rPr>
        <w:t>Mst</w:t>
      </w:r>
      <w:proofErr w:type="spellEnd"/>
      <w:r w:rsidRPr="00AC41B0">
        <w:rPr>
          <w:rFonts w:ascii="Arial" w:eastAsia="Times New Roman" w:hAnsi="Arial" w:cs="Arial"/>
          <w:b/>
          <w:bCs/>
          <w:i/>
          <w:iCs/>
          <w:color w:val="1F2937"/>
          <w:sz w:val="27"/>
          <w:szCs w:val="27"/>
          <w:bdr w:val="single" w:sz="2" w:space="0" w:color="E5E7EB" w:frame="1"/>
          <w:lang w:eastAsia="en-GB"/>
        </w:rPr>
        <w:t>. Ilyas Begum etc. </w:t>
      </w:r>
      <w:hyperlink r:id="rId17" w:history="1">
        <w:r w:rsidRPr="00AC41B0">
          <w:rPr>
            <w:rFonts w:ascii="Arial" w:eastAsia="Times New Roman" w:hAnsi="Arial" w:cs="Arial"/>
            <w:b/>
            <w:bCs/>
            <w:color w:val="4D99E6"/>
            <w:sz w:val="27"/>
            <w:szCs w:val="27"/>
            <w:u w:val="single"/>
            <w:bdr w:val="single" w:sz="2" w:space="0" w:color="E5E7EB" w:frame="1"/>
            <w:lang w:eastAsia="en-GB"/>
          </w:rPr>
          <w:t>(PLD 2013 SC 255 at Paragraph 11)</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Govt. of Punjab v United Sugar Mills Ltd. </w:t>
      </w:r>
      <w:hyperlink r:id="rId18" w:history="1">
        <w:r w:rsidRPr="00AC41B0">
          <w:rPr>
            <w:rFonts w:ascii="Arial" w:eastAsia="Times New Roman" w:hAnsi="Arial" w:cs="Arial"/>
            <w:b/>
            <w:bCs/>
            <w:color w:val="4D99E6"/>
            <w:sz w:val="27"/>
            <w:szCs w:val="27"/>
            <w:u w:val="single"/>
            <w:bdr w:val="single" w:sz="2" w:space="0" w:color="E5E7EB" w:frame="1"/>
            <w:lang w:eastAsia="en-GB"/>
          </w:rPr>
          <w:t>(2008 SCMR 1148 at Paragraph 7)</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 xml:space="preserve">Muhammad </w:t>
      </w:r>
      <w:proofErr w:type="spellStart"/>
      <w:r w:rsidRPr="00AC41B0">
        <w:rPr>
          <w:rFonts w:ascii="Arial" w:eastAsia="Times New Roman" w:hAnsi="Arial" w:cs="Arial"/>
          <w:b/>
          <w:bCs/>
          <w:i/>
          <w:iCs/>
          <w:color w:val="1F2937"/>
          <w:sz w:val="27"/>
          <w:szCs w:val="27"/>
          <w:bdr w:val="single" w:sz="2" w:space="0" w:color="E5E7EB" w:frame="1"/>
          <w:lang w:eastAsia="en-GB"/>
        </w:rPr>
        <w:t>Akram</w:t>
      </w:r>
      <w:proofErr w:type="spellEnd"/>
      <w:r w:rsidRPr="00AC41B0">
        <w:rPr>
          <w:rFonts w:ascii="Arial" w:eastAsia="Times New Roman" w:hAnsi="Arial" w:cs="Arial"/>
          <w:b/>
          <w:bCs/>
          <w:i/>
          <w:iCs/>
          <w:color w:val="1F2937"/>
          <w:sz w:val="27"/>
          <w:szCs w:val="27"/>
          <w:bdr w:val="single" w:sz="2" w:space="0" w:color="E5E7EB" w:frame="1"/>
          <w:lang w:eastAsia="en-GB"/>
        </w:rPr>
        <w:t xml:space="preserve"> v </w:t>
      </w:r>
      <w:proofErr w:type="spellStart"/>
      <w:r w:rsidRPr="00AC41B0">
        <w:rPr>
          <w:rFonts w:ascii="Arial" w:eastAsia="Times New Roman" w:hAnsi="Arial" w:cs="Arial"/>
          <w:b/>
          <w:bCs/>
          <w:i/>
          <w:iCs/>
          <w:color w:val="1F2937"/>
          <w:sz w:val="27"/>
          <w:szCs w:val="27"/>
          <w:bdr w:val="single" w:sz="2" w:space="0" w:color="E5E7EB" w:frame="1"/>
          <w:lang w:eastAsia="en-GB"/>
        </w:rPr>
        <w:t>Mst</w:t>
      </w:r>
      <w:proofErr w:type="spellEnd"/>
      <w:r w:rsidRPr="00AC41B0">
        <w:rPr>
          <w:rFonts w:ascii="Arial" w:eastAsia="Times New Roman" w:hAnsi="Arial" w:cs="Arial"/>
          <w:b/>
          <w:bCs/>
          <w:i/>
          <w:iCs/>
          <w:color w:val="1F2937"/>
          <w:sz w:val="27"/>
          <w:szCs w:val="27"/>
          <w:bdr w:val="single" w:sz="2" w:space="0" w:color="E5E7EB" w:frame="1"/>
          <w:lang w:eastAsia="en-GB"/>
        </w:rPr>
        <w:t>. Zainab Bibi </w:t>
      </w:r>
      <w:hyperlink r:id="rId19" w:history="1">
        <w:r w:rsidRPr="00AC41B0">
          <w:rPr>
            <w:rFonts w:ascii="Arial" w:eastAsia="Times New Roman" w:hAnsi="Arial" w:cs="Arial"/>
            <w:b/>
            <w:bCs/>
            <w:color w:val="4D99E6"/>
            <w:sz w:val="27"/>
            <w:szCs w:val="27"/>
            <w:u w:val="single"/>
            <w:bdr w:val="single" w:sz="2" w:space="0" w:color="E5E7EB" w:frame="1"/>
            <w:lang w:eastAsia="en-GB"/>
          </w:rPr>
          <w:t>(2007 SCMR 1086 at Paragraph 11)</w:t>
        </w:r>
      </w:hyperlink>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bdr w:val="single" w:sz="2" w:space="0" w:color="E5E7EB" w:frame="1"/>
          <w:lang w:eastAsia="en-GB"/>
        </w:rPr>
        <w:t>Khyber Tractors v Pakistan </w:t>
      </w:r>
      <w:hyperlink r:id="rId20" w:history="1">
        <w:r w:rsidRPr="00AC41B0">
          <w:rPr>
            <w:rFonts w:ascii="Arial" w:eastAsia="Times New Roman" w:hAnsi="Arial" w:cs="Arial"/>
            <w:b/>
            <w:bCs/>
            <w:color w:val="4D99E6"/>
            <w:sz w:val="27"/>
            <w:szCs w:val="27"/>
            <w:u w:val="single"/>
            <w:bdr w:val="single" w:sz="2" w:space="0" w:color="E5E7EB" w:frame="1"/>
            <w:lang w:eastAsia="en-GB"/>
          </w:rPr>
          <w:t>(PLD 2005 SC 842 at Paragraph 21)</w:t>
        </w:r>
      </w:hyperlink>
      <w:r w:rsidRPr="00AC41B0">
        <w:rPr>
          <w:rFonts w:ascii="Arial" w:eastAsia="Times New Roman" w:hAnsi="Arial" w:cs="Arial"/>
          <w:color w:val="1F2937"/>
          <w:sz w:val="27"/>
          <w:szCs w:val="27"/>
          <w:lang w:eastAsia="en-GB"/>
        </w:rPr>
        <w:t>; </w:t>
      </w:r>
      <w:proofErr w:type="spellStart"/>
      <w:r w:rsidRPr="00AC41B0">
        <w:rPr>
          <w:rFonts w:ascii="Arial" w:eastAsia="Times New Roman" w:hAnsi="Arial" w:cs="Arial"/>
          <w:b/>
          <w:bCs/>
          <w:i/>
          <w:iCs/>
          <w:color w:val="1F2937"/>
          <w:sz w:val="27"/>
          <w:szCs w:val="27"/>
          <w:bdr w:val="single" w:sz="2" w:space="0" w:color="E5E7EB" w:frame="1"/>
          <w:lang w:eastAsia="en-GB"/>
        </w:rPr>
        <w:t>Mian</w:t>
      </w:r>
      <w:proofErr w:type="spellEnd"/>
      <w:r w:rsidRPr="00AC41B0">
        <w:rPr>
          <w:rFonts w:ascii="Arial" w:eastAsia="Times New Roman" w:hAnsi="Arial" w:cs="Arial"/>
          <w:b/>
          <w:bCs/>
          <w:i/>
          <w:iCs/>
          <w:color w:val="1F2937"/>
          <w:sz w:val="27"/>
          <w:szCs w:val="27"/>
          <w:bdr w:val="single" w:sz="2" w:space="0" w:color="E5E7EB" w:frame="1"/>
          <w:lang w:eastAsia="en-GB"/>
        </w:rPr>
        <w:t xml:space="preserve"> Muhammad Nawaz Sharif v President of Pakistan etc. </w:t>
      </w:r>
      <w:hyperlink r:id="rId21" w:history="1">
        <w:r w:rsidRPr="00AC41B0">
          <w:rPr>
            <w:rFonts w:ascii="Arial" w:eastAsia="Times New Roman" w:hAnsi="Arial" w:cs="Arial"/>
            <w:b/>
            <w:bCs/>
            <w:color w:val="4D99E6"/>
            <w:sz w:val="27"/>
            <w:szCs w:val="27"/>
            <w:u w:val="single"/>
            <w:bdr w:val="single" w:sz="2" w:space="0" w:color="E5E7EB" w:frame="1"/>
            <w:lang w:eastAsia="en-GB"/>
          </w:rPr>
          <w:t>(PLD 1993 SC 473)</w:t>
        </w:r>
      </w:hyperlink>
      <w:r w:rsidRPr="00AC41B0">
        <w:rPr>
          <w:rFonts w:ascii="Arial" w:eastAsia="Times New Roman" w:hAnsi="Arial" w:cs="Arial"/>
          <w:b/>
          <w:bCs/>
          <w:i/>
          <w:iCs/>
          <w:color w:val="1F2937"/>
          <w:sz w:val="27"/>
          <w:szCs w:val="27"/>
          <w:bdr w:val="single" w:sz="2" w:space="0" w:color="E5E7EB" w:frame="1"/>
          <w:lang w:eastAsia="en-GB"/>
        </w:rPr>
        <w:t> </w:t>
      </w:r>
      <w:r w:rsidRPr="00AC41B0">
        <w:rPr>
          <w:rFonts w:ascii="Arial" w:eastAsia="Times New Roman" w:hAnsi="Arial" w:cs="Arial"/>
          <w:color w:val="1F2937"/>
          <w:sz w:val="27"/>
          <w:szCs w:val="27"/>
          <w:lang w:eastAsia="en-GB"/>
        </w:rPr>
        <w:t>etc.). </w:t>
      </w:r>
    </w:p>
    <w:p w14:paraId="3F4AF3D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39785B3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xml:space="preserve">As the Supreme Court of Florida, in Weinberger v. Board of Public Instruction ((1927) 112 </w:t>
      </w:r>
      <w:proofErr w:type="spellStart"/>
      <w:r w:rsidRPr="00AC41B0">
        <w:rPr>
          <w:rFonts w:ascii="Arial" w:eastAsia="Times New Roman" w:hAnsi="Arial" w:cs="Arial"/>
          <w:color w:val="1F2937"/>
          <w:sz w:val="27"/>
          <w:szCs w:val="27"/>
          <w:lang w:eastAsia="en-GB"/>
        </w:rPr>
        <w:t>So.</w:t>
      </w:r>
      <w:proofErr w:type="spellEnd"/>
      <w:r w:rsidRPr="00AC41B0">
        <w:rPr>
          <w:rFonts w:ascii="Arial" w:eastAsia="Times New Roman" w:hAnsi="Arial" w:cs="Arial"/>
          <w:color w:val="1F2937"/>
          <w:sz w:val="27"/>
          <w:szCs w:val="27"/>
          <w:lang w:eastAsia="en-GB"/>
        </w:rPr>
        <w:t xml:space="preserve"> 253, 93 Fla. 470), classically puts it:</w:t>
      </w:r>
    </w:p>
    <w:p w14:paraId="5951037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13FF7B1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“The principle is well established that where the Constitution expressly provides the manner of doing a thing, it </w:t>
      </w:r>
      <w:r w:rsidRPr="00AC41B0">
        <w:rPr>
          <w:rFonts w:ascii="Arial" w:eastAsia="Times New Roman" w:hAnsi="Arial" w:cs="Arial"/>
          <w:b/>
          <w:bCs/>
          <w:i/>
          <w:iCs/>
          <w:color w:val="1F2937"/>
          <w:sz w:val="27"/>
          <w:szCs w:val="27"/>
          <w:u w:val="single"/>
          <w:bdr w:val="single" w:sz="2" w:space="0" w:color="E5E7EB" w:frame="1"/>
          <w:lang w:eastAsia="en-GB"/>
        </w:rPr>
        <w:t>impliedly forbids</w:t>
      </w:r>
      <w:r w:rsidRPr="00AC41B0">
        <w:rPr>
          <w:rFonts w:ascii="Arial" w:eastAsia="Times New Roman" w:hAnsi="Arial" w:cs="Arial"/>
          <w:color w:val="1F2937"/>
          <w:sz w:val="27"/>
          <w:szCs w:val="27"/>
          <w:lang w:eastAsia="en-GB"/>
        </w:rPr>
        <w:t> its being done in a substantially different manner.”</w:t>
      </w:r>
    </w:p>
    <w:p w14:paraId="4B2239C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u w:val="single"/>
          <w:bdr w:val="single" w:sz="2" w:space="0" w:color="E5E7EB" w:frame="1"/>
          <w:lang w:eastAsia="en-GB"/>
        </w:rPr>
        <w:t>(Emphasis Supplied)</w:t>
      </w:r>
    </w:p>
    <w:p w14:paraId="7B0EB2D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7DF013D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Contrastingly, one may examine the prohibition contained in Article 8(2) of the Constitution:</w:t>
      </w:r>
    </w:p>
    <w:p w14:paraId="7E35CCE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“The State shall not make any law which takes away or abridges the rights so conferred and any law made in contravention of this clause shall, to the extent</w:t>
      </w:r>
      <w:r w:rsidRPr="00AC41B0">
        <w:rPr>
          <w:rFonts w:ascii="Arial" w:eastAsia="Times New Roman" w:hAnsi="Arial" w:cs="Arial"/>
          <w:color w:val="1F2937"/>
          <w:sz w:val="27"/>
          <w:szCs w:val="27"/>
          <w:lang w:eastAsia="en-GB"/>
        </w:rPr>
        <w:br/>
        <w:t>of such contravention, be void.”</w:t>
      </w:r>
    </w:p>
    <w:p w14:paraId="7101F9B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Here the limitation is “substantive”: it limits the subject matter upon which Parliament may make law, categorising laws that take away or abridge the Fundamental Rights contained in Part II Chapter 1 of the Constitution as impermissible. It is also “explicit”. It expressly lays down both the prohibition and the consequence that breach of such prohibition entails i.e. such law is void.</w:t>
      </w:r>
    </w:p>
    <w:p w14:paraId="73D5551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It may be beneficial to note at such juncture that the weight of judicial authorities is against the interpretation of the word “law”, as used in the above-reproduced provision, as being inclusive of Acts of Parliament seeking to amend the Constitution. As such, constitutional amendments have long been interpreted by the Supreme Court as falling outside the ambit of Article 8(2). It is, however, humbly contended with respect that such authorities, as shall be sought to be demonstrated in Part II, proceed perhaps upon an erroneous interpretation of the relevant provisions. For our present purpose, it may suffice to merely categorise the prohibition as “substantive” and “express”.</w:t>
      </w:r>
    </w:p>
    <w:p w14:paraId="5A2F3AEF"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This brings us to the titular “Salient Features”. Per the most recent statement of the prohibition in the plurality opinion of the Supreme Court in </w:t>
      </w:r>
      <w:r w:rsidRPr="00AC41B0">
        <w:rPr>
          <w:rFonts w:ascii="Arial" w:eastAsia="Times New Roman" w:hAnsi="Arial" w:cs="Arial"/>
          <w:b/>
          <w:bCs/>
          <w:i/>
          <w:iCs/>
          <w:color w:val="1F2937"/>
          <w:sz w:val="27"/>
          <w:szCs w:val="27"/>
          <w:bdr w:val="single" w:sz="2" w:space="0" w:color="E5E7EB" w:frame="1"/>
          <w:lang w:eastAsia="en-GB"/>
        </w:rPr>
        <w:t>District Bar Association</w:t>
      </w:r>
      <w:r w:rsidRPr="00AC41B0">
        <w:rPr>
          <w:rFonts w:ascii="Arial" w:eastAsia="Times New Roman" w:hAnsi="Arial" w:cs="Arial"/>
          <w:color w:val="1F2937"/>
          <w:sz w:val="27"/>
          <w:szCs w:val="27"/>
          <w:lang w:eastAsia="en-GB"/>
        </w:rPr>
        <w:br/>
      </w:r>
      <w:r w:rsidRPr="00AC41B0">
        <w:rPr>
          <w:rFonts w:ascii="Arial" w:eastAsia="Times New Roman" w:hAnsi="Arial" w:cs="Arial"/>
          <w:b/>
          <w:bCs/>
          <w:i/>
          <w:iCs/>
          <w:color w:val="1F2937"/>
          <w:sz w:val="27"/>
          <w:szCs w:val="27"/>
          <w:bdr w:val="single" w:sz="2" w:space="0" w:color="E5E7EB" w:frame="1"/>
          <w:lang w:eastAsia="en-GB"/>
        </w:rPr>
        <w:t>(Rawalpindi) v Federation of Pakistan</w:t>
      </w:r>
      <w:r w:rsidRPr="00AC41B0">
        <w:rPr>
          <w:rFonts w:ascii="Arial" w:eastAsia="Times New Roman" w:hAnsi="Arial" w:cs="Arial"/>
          <w:color w:val="1F2937"/>
          <w:sz w:val="27"/>
          <w:szCs w:val="27"/>
          <w:lang w:eastAsia="en-GB"/>
        </w:rPr>
        <w:t> </w:t>
      </w:r>
      <w:hyperlink r:id="rId22"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authored by Mr. Justice Sh. Azmat Saeed and agreed with by seven (7) others of the seventeen (17) member bench (at Paragraph 180):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w:t>
      </w:r>
      <w:r w:rsidRPr="00AC41B0">
        <w:rPr>
          <w:rFonts w:ascii="Arial" w:eastAsia="Times New Roman" w:hAnsi="Arial" w:cs="Arial"/>
          <w:color w:val="1F2937"/>
          <w:sz w:val="27"/>
          <w:szCs w:val="27"/>
          <w:lang w:eastAsia="en-GB"/>
        </w:rPr>
        <w:br/>
        <w:t>(c) The amendatory powers of the Parliament are subject to implied limitations. The Parliament, in view of Articles 238 and 239 is vested with the power to amend the Constitution as long as the Salient Features of the Constitution are not repealed, abrogated or substantively altered.</w:t>
      </w:r>
      <w:r w:rsidRPr="00AC41B0">
        <w:rPr>
          <w:rFonts w:ascii="Arial" w:eastAsia="Times New Roman" w:hAnsi="Arial" w:cs="Arial"/>
          <w:color w:val="1F2937"/>
          <w:sz w:val="27"/>
          <w:szCs w:val="27"/>
          <w:lang w:eastAsia="en-GB"/>
        </w:rPr>
        <w:br/>
        <w:t>…”</w:t>
      </w:r>
    </w:p>
    <w:p w14:paraId="60F4D756"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(Emphasis Supplied)</w:t>
      </w:r>
      <w:r w:rsidRPr="00AC41B0">
        <w:rPr>
          <w:rFonts w:ascii="Arial" w:eastAsia="Times New Roman" w:hAnsi="Arial" w:cs="Arial"/>
          <w:color w:val="1F2937"/>
          <w:sz w:val="27"/>
          <w:szCs w:val="27"/>
          <w:lang w:eastAsia="en-GB"/>
        </w:rPr>
        <w:t> </w:t>
      </w:r>
    </w:p>
    <w:p w14:paraId="2BF5E96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1407716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Here, the limitation is “substantive” but “implied”. It controls the subject matter of amendments by prohibiting those that repeal, abrogate or substantively alter the Salient</w:t>
      </w:r>
      <w:r w:rsidRPr="00AC41B0">
        <w:rPr>
          <w:rFonts w:ascii="Arial" w:eastAsia="Times New Roman" w:hAnsi="Arial" w:cs="Arial"/>
          <w:color w:val="1F2937"/>
          <w:sz w:val="27"/>
          <w:szCs w:val="27"/>
          <w:lang w:eastAsia="en-GB"/>
        </w:rPr>
        <w:br/>
        <w:t>Features of the Constitution. What constitutes these “Salient Features”, however, has not been expressly provided in the Constitution. Nor does its text “explicitly” prohibit amendments that repeal, abrogate or substantially alter such implied features. </w:t>
      </w:r>
      <w:r w:rsidRPr="00AC41B0">
        <w:rPr>
          <w:rFonts w:ascii="Arial" w:eastAsia="Times New Roman" w:hAnsi="Arial" w:cs="Arial"/>
          <w:color w:val="1F2937"/>
          <w:sz w:val="27"/>
          <w:szCs w:val="27"/>
          <w:lang w:eastAsia="en-GB"/>
        </w:rPr>
        <w:br/>
        <w:t> </w:t>
      </w:r>
    </w:p>
    <w:p w14:paraId="7C97431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Between Clause (6) of Article 239 and the Supreme Court’s Insistence upon Implied Limitations on the Amendatory Power</w:t>
      </w:r>
    </w:p>
    <w:p w14:paraId="51F63AD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These aspects (and therefore the plurality opinion), naturally, become more alarming when one then examines Clause (6) of Article 239: </w:t>
      </w:r>
      <w:r w:rsidRPr="00AC41B0">
        <w:rPr>
          <w:rFonts w:ascii="Arial" w:eastAsia="Times New Roman" w:hAnsi="Arial" w:cs="Arial"/>
          <w:color w:val="1F2937"/>
          <w:sz w:val="27"/>
          <w:szCs w:val="27"/>
          <w:lang w:eastAsia="en-GB"/>
        </w:rPr>
        <w:br/>
        <w:t> </w:t>
      </w:r>
    </w:p>
    <w:p w14:paraId="6E3C812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“(6) For the removal of doubt, it is hereby declared that there is no limitation whatever on the power of the Majlis-e-</w:t>
      </w:r>
      <w:proofErr w:type="spellStart"/>
      <w:r w:rsidRPr="00AC41B0">
        <w:rPr>
          <w:rFonts w:ascii="Arial" w:eastAsia="Times New Roman" w:hAnsi="Arial" w:cs="Arial"/>
          <w:i/>
          <w:iCs/>
          <w:color w:val="1F2937"/>
          <w:sz w:val="27"/>
          <w:szCs w:val="27"/>
          <w:bdr w:val="single" w:sz="2" w:space="0" w:color="E5E7EB" w:frame="1"/>
          <w:lang w:eastAsia="en-GB"/>
        </w:rPr>
        <w:t>Shoora</w:t>
      </w:r>
      <w:proofErr w:type="spellEnd"/>
      <w:r w:rsidRPr="00AC41B0">
        <w:rPr>
          <w:rFonts w:ascii="Arial" w:eastAsia="Times New Roman" w:hAnsi="Arial" w:cs="Arial"/>
          <w:i/>
          <w:iCs/>
          <w:color w:val="1F2937"/>
          <w:sz w:val="27"/>
          <w:szCs w:val="27"/>
          <w:bdr w:val="single" w:sz="2" w:space="0" w:color="E5E7EB" w:frame="1"/>
          <w:lang w:eastAsia="en-GB"/>
        </w:rPr>
        <w:t xml:space="preserve"> (Parliament) to amend any of the provisions of the Constitution.” </w:t>
      </w:r>
    </w:p>
    <w:p w14:paraId="2233ABB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334F000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This makes the situation problematic for various reasons. For one, there appears to be an irreconcilable conflict between the language of Clause (6) of Article 239, providing for an absolute, unqualified amendatory power and the Supreme Court finding “implied limitations” on said power. Both states of affairs cannot co-exist.</w:t>
      </w:r>
    </w:p>
    <w:p w14:paraId="78C07B4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B47681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xml:space="preserve">Of course, if one were to apply the maxim </w:t>
      </w:r>
      <w:proofErr w:type="spellStart"/>
      <w:r w:rsidRPr="00AC41B0">
        <w:rPr>
          <w:rFonts w:ascii="Arial" w:eastAsia="Times New Roman" w:hAnsi="Arial" w:cs="Arial"/>
          <w:color w:val="1F2937"/>
          <w:sz w:val="27"/>
          <w:szCs w:val="27"/>
          <w:lang w:eastAsia="en-GB"/>
        </w:rPr>
        <w:t>expressum</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facit</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cessare</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tacitum</w:t>
      </w:r>
      <w:proofErr w:type="spellEnd"/>
      <w:r w:rsidRPr="00AC41B0">
        <w:rPr>
          <w:rFonts w:ascii="Arial" w:eastAsia="Times New Roman" w:hAnsi="Arial" w:cs="Arial"/>
          <w:color w:val="1F2937"/>
          <w:sz w:val="27"/>
          <w:szCs w:val="27"/>
          <w:lang w:eastAsia="en-GB"/>
        </w:rPr>
        <w:t>, the conflict resolves itself: express words trump implied, therefore, Clause (6) of Article 239 prevails over any “implied limitations”. This, naturally, would also entail that the plurality opinion of the Supreme Court in</w:t>
      </w:r>
      <w:r w:rsidRPr="00AC41B0">
        <w:rPr>
          <w:rFonts w:ascii="Arial" w:eastAsia="Times New Roman" w:hAnsi="Arial" w:cs="Arial"/>
          <w:b/>
          <w:bCs/>
          <w:i/>
          <w:iCs/>
          <w:color w:val="1F2937"/>
          <w:sz w:val="27"/>
          <w:szCs w:val="27"/>
          <w:bdr w:val="single" w:sz="2" w:space="0" w:color="E5E7EB" w:frame="1"/>
          <w:lang w:eastAsia="en-GB"/>
        </w:rPr>
        <w:t> District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3"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with the utmost respect, got it wrong. </w:t>
      </w:r>
    </w:p>
    <w:p w14:paraId="4D70B42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77BB79A1"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xml:space="preserve">Likewise, in that the finding of the Court effectively renders nugatory the plain, unyielding language of Clause (6) of Article 239, one would also not be too off in suggesting that the plurality’s interpretation was, perhaps, more on the “activist” end of the spectrum as opposed to the “textual”. Since the doctrine has not been defined in the text of the Constitution, its scope and content </w:t>
      </w:r>
      <w:proofErr w:type="gramStart"/>
      <w:r w:rsidRPr="00AC41B0">
        <w:rPr>
          <w:rFonts w:ascii="Arial" w:eastAsia="Times New Roman" w:hAnsi="Arial" w:cs="Arial"/>
          <w:color w:val="1F2937"/>
          <w:sz w:val="27"/>
          <w:szCs w:val="27"/>
          <w:lang w:eastAsia="en-GB"/>
        </w:rPr>
        <w:t>remains</w:t>
      </w:r>
      <w:proofErr w:type="gramEnd"/>
      <w:r w:rsidRPr="00AC41B0">
        <w:rPr>
          <w:rFonts w:ascii="Arial" w:eastAsia="Times New Roman" w:hAnsi="Arial" w:cs="Arial"/>
          <w:color w:val="1F2937"/>
          <w:sz w:val="27"/>
          <w:szCs w:val="27"/>
          <w:lang w:eastAsia="en-GB"/>
        </w:rPr>
        <w:t xml:space="preserve"> uncertain. This is in stark contrast with the unequivocal language of Clause (6), which does not leave room for “any” limitations on Parliament’s power.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Moreover, in that the determination of the doctrine’s various contours, barring Parliamentary intervention, effectively remains dependent upon subjective judicial interpretation, one could legitimately argue that it represents an attempt by the judiciary to shift the power balance in their favour.</w:t>
      </w:r>
    </w:p>
    <w:p w14:paraId="6E360A4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2A360CB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The Original Sin</w:t>
      </w:r>
      <w:r w:rsidRPr="00AC41B0">
        <w:rPr>
          <w:rFonts w:ascii="Arial" w:eastAsia="Times New Roman" w:hAnsi="Arial" w:cs="Arial"/>
          <w:color w:val="1F2937"/>
          <w:sz w:val="27"/>
          <w:szCs w:val="27"/>
          <w:lang w:eastAsia="en-GB"/>
        </w:rPr>
        <w:br/>
        <w:t>Then again, one cannot lose sight of the fact that Clause (6) of Article 239 was, itself, inserted into the Constitution via an exercise of the amendatory power i.e. the Eighth</w:t>
      </w:r>
      <w:r w:rsidRPr="00AC41B0">
        <w:rPr>
          <w:rFonts w:ascii="Arial" w:eastAsia="Times New Roman" w:hAnsi="Arial" w:cs="Arial"/>
          <w:color w:val="1F2937"/>
          <w:sz w:val="27"/>
          <w:szCs w:val="27"/>
          <w:lang w:eastAsia="en-GB"/>
        </w:rPr>
        <w:br/>
        <w:t xml:space="preserve">Amendment in 1985. The Constitution, as originally enacted, did not contain a provision in </w:t>
      </w:r>
      <w:proofErr w:type="spellStart"/>
      <w:r w:rsidRPr="00AC41B0">
        <w:rPr>
          <w:rFonts w:ascii="Arial" w:eastAsia="Times New Roman" w:hAnsi="Arial" w:cs="Arial"/>
          <w:color w:val="1F2937"/>
          <w:sz w:val="27"/>
          <w:szCs w:val="27"/>
          <w:lang w:eastAsia="en-GB"/>
        </w:rPr>
        <w:t>pari</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materia</w:t>
      </w:r>
      <w:proofErr w:type="spellEnd"/>
      <w:r w:rsidRPr="00AC41B0">
        <w:rPr>
          <w:rFonts w:ascii="Arial" w:eastAsia="Times New Roman" w:hAnsi="Arial" w:cs="Arial"/>
          <w:color w:val="1F2937"/>
          <w:sz w:val="27"/>
          <w:szCs w:val="27"/>
          <w:lang w:eastAsia="en-GB"/>
        </w:rPr>
        <w:t>.</w:t>
      </w:r>
    </w:p>
    <w:p w14:paraId="7692426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640A9AFF"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Indeed, as has been noted herein earlier, by such point in history the Supreme Court had already recognised at least one implied prohibition on the amendatory power i.e. the prohibition against amending the constitution in a manner contrary to the procedure provided in Article 239. It thus becomes manifest that the true object of the clause was not the avowed “removal of doubt” but in fact “removal of those limitations”. </w:t>
      </w:r>
    </w:p>
    <w:p w14:paraId="05E9155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59E5336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xml:space="preserve">Viewed from that perspective, it would then appear that the actual “power grab” occurred in 1985. With the insertion of Clause (6) of Article 239 into the text of the Constitution, Parliament, the </w:t>
      </w:r>
      <w:proofErr w:type="spellStart"/>
      <w:r w:rsidRPr="00AC41B0">
        <w:rPr>
          <w:rFonts w:ascii="Arial" w:eastAsia="Times New Roman" w:hAnsi="Arial" w:cs="Arial"/>
          <w:color w:val="1F2937"/>
          <w:sz w:val="27"/>
          <w:szCs w:val="27"/>
          <w:lang w:eastAsia="en-GB"/>
        </w:rPr>
        <w:t>donee</w:t>
      </w:r>
      <w:proofErr w:type="spellEnd"/>
      <w:r w:rsidRPr="00AC41B0">
        <w:rPr>
          <w:rFonts w:ascii="Arial" w:eastAsia="Times New Roman" w:hAnsi="Arial" w:cs="Arial"/>
          <w:color w:val="1F2937"/>
          <w:sz w:val="27"/>
          <w:szCs w:val="27"/>
          <w:lang w:eastAsia="en-GB"/>
        </w:rPr>
        <w:t xml:space="preserve"> of a limited amendatory power, had effectively, by the exercise of that very power, converted it into an unlimited one; disturbing the delicate power balance between the pillars of the State as originally envisioned under the Constitution.</w:t>
      </w:r>
    </w:p>
    <w:p w14:paraId="48F1CD1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7F568B1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In that sense, the insertion of Clause (6) of Article 239 constitutes as much of a fraud against the text of the original Constitution as the Supreme Court finding “implied limitations” upon the amendatory power in the context of the Constitution as it presently stands. </w:t>
      </w:r>
    </w:p>
    <w:p w14:paraId="36226B4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617AB47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Of course, if precedents from across the border carry persuasive weight, this was also impermissible. The Supreme Court of India, as early as in 1980, had already repelled an attempt by the Indian Parliament to include the following clause in their constitutional text: </w:t>
      </w:r>
      <w:r w:rsidRPr="00AC41B0">
        <w:rPr>
          <w:rFonts w:ascii="Arial" w:eastAsia="Times New Roman" w:hAnsi="Arial" w:cs="Arial"/>
          <w:color w:val="1F2937"/>
          <w:sz w:val="27"/>
          <w:szCs w:val="27"/>
          <w:lang w:eastAsia="en-GB"/>
        </w:rPr>
        <w:br/>
        <w:t> </w:t>
      </w:r>
    </w:p>
    <w:p w14:paraId="3B696CF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“(5) For the removal of doubts, it is hereby declared that there shall be no limitation whatever on the constituent power of Parliament to amend by way of addition, variation or repeal the provisions of this Constitution under this article.” </w:t>
      </w:r>
    </w:p>
    <w:p w14:paraId="5685A9E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60D4C86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Per the majority opinion in</w:t>
      </w:r>
      <w:r w:rsidRPr="00AC41B0">
        <w:rPr>
          <w:rFonts w:ascii="Arial" w:eastAsia="Times New Roman" w:hAnsi="Arial" w:cs="Arial"/>
          <w:i/>
          <w:iCs/>
          <w:color w:val="1F2937"/>
          <w:sz w:val="27"/>
          <w:szCs w:val="27"/>
          <w:bdr w:val="single" w:sz="2" w:space="0" w:color="E5E7EB" w:frame="1"/>
          <w:lang w:eastAsia="en-GB"/>
        </w:rPr>
        <w:t> </w:t>
      </w:r>
      <w:r w:rsidRPr="00AC41B0">
        <w:rPr>
          <w:rFonts w:ascii="Arial" w:eastAsia="Times New Roman" w:hAnsi="Arial" w:cs="Arial"/>
          <w:b/>
          <w:bCs/>
          <w:i/>
          <w:iCs/>
          <w:color w:val="1F2937"/>
          <w:sz w:val="27"/>
          <w:szCs w:val="27"/>
          <w:bdr w:val="single" w:sz="2" w:space="0" w:color="E5E7EB" w:frame="1"/>
          <w:lang w:eastAsia="en-GB"/>
        </w:rPr>
        <w:t>Minerva Mills v Union of India</w:t>
      </w:r>
      <w:r w:rsidRPr="00AC41B0">
        <w:rPr>
          <w:rFonts w:ascii="Arial" w:eastAsia="Times New Roman" w:hAnsi="Arial" w:cs="Arial"/>
          <w:b/>
          <w:bCs/>
          <w:color w:val="1F2937"/>
          <w:sz w:val="27"/>
          <w:szCs w:val="27"/>
          <w:u w:val="single"/>
          <w:bdr w:val="single" w:sz="2" w:space="0" w:color="E5E7EB" w:frame="1"/>
          <w:lang w:eastAsia="en-GB"/>
        </w:rPr>
        <w:t> (AIR 1980 SC 1789): </w:t>
      </w:r>
    </w:p>
    <w:p w14:paraId="5E19196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3F0FD5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 xml:space="preserve">“Since the Constitution had conferred a limited amending power on the Parliament, the Parliament cannot under the exercise of that limited power enlarge that very power into an absolute power. Indeed, a limited amending power is one of the basic features of our Constitution and therefore, the limitations on that power cannot be destroyed. In other words, Parliament cannot, under Article 368, expand its amending power so as to acquire for itself the right to repeal or abrogate the Constitution or to destroy its basic and essential features. The </w:t>
      </w:r>
      <w:proofErr w:type="spellStart"/>
      <w:r w:rsidRPr="00AC41B0">
        <w:rPr>
          <w:rFonts w:ascii="Arial" w:eastAsia="Times New Roman" w:hAnsi="Arial" w:cs="Arial"/>
          <w:i/>
          <w:iCs/>
          <w:color w:val="1F2937"/>
          <w:sz w:val="27"/>
          <w:szCs w:val="27"/>
          <w:bdr w:val="single" w:sz="2" w:space="0" w:color="E5E7EB" w:frame="1"/>
          <w:lang w:eastAsia="en-GB"/>
        </w:rPr>
        <w:t>donee</w:t>
      </w:r>
      <w:proofErr w:type="spellEnd"/>
      <w:r w:rsidRPr="00AC41B0">
        <w:rPr>
          <w:rFonts w:ascii="Arial" w:eastAsia="Times New Roman" w:hAnsi="Arial" w:cs="Arial"/>
          <w:i/>
          <w:iCs/>
          <w:color w:val="1F2937"/>
          <w:sz w:val="27"/>
          <w:szCs w:val="27"/>
          <w:bdr w:val="single" w:sz="2" w:space="0" w:color="E5E7EB" w:frame="1"/>
          <w:lang w:eastAsia="en-GB"/>
        </w:rPr>
        <w:t xml:space="preserve"> of a limited power cannot by the exercise of that power convert the limited power into an unlimited one.” </w:t>
      </w:r>
    </w:p>
    <w:p w14:paraId="4F33691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2536E9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Why, then, has not a similar challenge been set up against Clause (6) of Article 239 to this date? In the race to grab the first “unconstitutional constitutional amendment” one would have imagined it to have topped most constitutional experts’ list.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Yet, one finds that no challenge was levelled against the said clause even when the Twenty First Amendment was brought before the Supreme Court in </w:t>
      </w:r>
      <w:r w:rsidRPr="00AC41B0">
        <w:rPr>
          <w:rFonts w:ascii="Arial" w:eastAsia="Times New Roman" w:hAnsi="Arial" w:cs="Arial"/>
          <w:b/>
          <w:bCs/>
          <w:i/>
          <w:iCs/>
          <w:color w:val="1F2937"/>
          <w:sz w:val="27"/>
          <w:szCs w:val="27"/>
          <w:bdr w:val="single" w:sz="2" w:space="0" w:color="E5E7EB" w:frame="1"/>
          <w:lang w:eastAsia="en-GB"/>
        </w:rPr>
        <w:t>District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4"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xml:space="preserve">. Even now, most regrettably, though the Twenty Sixth Amendment to the Constitution stands challenged before the Supreme Court in various petitions, neither of them, to the knowledge of the author, question the vires of or seek declarations in relation to Clause (6) of Article 239. The situation is most perplexing; </w:t>
      </w:r>
      <w:proofErr w:type="spellStart"/>
      <w:r w:rsidRPr="00AC41B0">
        <w:rPr>
          <w:rFonts w:ascii="Arial" w:eastAsia="Times New Roman" w:hAnsi="Arial" w:cs="Arial"/>
          <w:color w:val="1F2937"/>
          <w:sz w:val="27"/>
          <w:szCs w:val="27"/>
          <w:lang w:eastAsia="en-GB"/>
        </w:rPr>
        <w:t>moreso</w:t>
      </w:r>
      <w:proofErr w:type="spellEnd"/>
      <w:r w:rsidRPr="00AC41B0">
        <w:rPr>
          <w:rFonts w:ascii="Arial" w:eastAsia="Times New Roman" w:hAnsi="Arial" w:cs="Arial"/>
          <w:color w:val="1F2937"/>
          <w:sz w:val="27"/>
          <w:szCs w:val="27"/>
          <w:lang w:eastAsia="en-GB"/>
        </w:rPr>
        <w:t xml:space="preserve"> in view of the fact that the Minerva Mills judgment is common knowledge to the Bench and Bar and oft-quoted. Though the situation maintains the status quo, the state of affairs it seeks to preserve is turbulent at best and likely only to aggravate with the passage of time.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This inertia within the Bar to build up such a challenge is not just regrettable - it is deeply symptomatic of a growing “institutional capture”, where the once-independent legal fraternity has become increasingly passive in confronting the systemic overreach of executive and parliamentary powers. This deafening silence is a troubling signal that the Bar, once the judiciary’s stalwart ally in preserving constitutional integrity, now risks becoming complicit in the dilution of constitutional safeguards. Indeed, this reluctance on the part of the Bar to challenge Clause (6), alongside the Judiciary's increasing interpretative flexibility, further risks fostering an environment where constitutional norms are selectively enforced, and accountability becomes a matter of convenience rather than principle.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The jurisdictional aspect</w:t>
      </w:r>
      <w:r w:rsidRPr="00AC41B0">
        <w:rPr>
          <w:rFonts w:ascii="Arial" w:eastAsia="Times New Roman" w:hAnsi="Arial" w:cs="Arial"/>
          <w:color w:val="1F2937"/>
          <w:sz w:val="27"/>
          <w:szCs w:val="27"/>
          <w:lang w:eastAsia="en-GB"/>
        </w:rPr>
        <w:br/>
        <w:t>Addressing the jurisdictional question, one would find solace in knowing that the Constitution does endeavour to simplify this aspect of the problem. </w:t>
      </w:r>
    </w:p>
    <w:p w14:paraId="55C5C15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1E97DCF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It provides a basic rule. Per Article 175(2) of the Constitution:</w:t>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“No court shall have any jurisdiction save as is or may be conferred on it by the Constitution or by or under any law.” </w:t>
      </w:r>
      <w:r w:rsidRPr="00AC41B0">
        <w:rPr>
          <w:rFonts w:ascii="Arial" w:eastAsia="Times New Roman" w:hAnsi="Arial" w:cs="Arial"/>
          <w:color w:val="1F2937"/>
          <w:sz w:val="27"/>
          <w:szCs w:val="27"/>
          <w:lang w:eastAsia="en-GB"/>
        </w:rPr>
        <w:br/>
        <w:t> </w:t>
      </w:r>
    </w:p>
    <w:p w14:paraId="4304A17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This, naturally, does limit one’s inquiry for the better: any jurisdiction sought to be engaged must be relatable to the Constitution or law. Nothing was inherent. </w:t>
      </w:r>
    </w:p>
    <w:p w14:paraId="23B3DCE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462E4F0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Indeed, the Constitution, when addressing the subject of “Amendments to the Constitution” also touches upon the jurisdictional aspect. Per clause (5) of Article 239 (also inserted via the Eighth Amendment):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(5) No amendment of the Constitution shall be called in question in any court on any ground whatsoever.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Of course, insofar as Parliament was concerned, that was the end of the discussion. “No court” had the jurisdiction to call in question an amendment of the Constitution “on any ground whatsoever”. The bar was absolute, the language unyielding to a wider construction.</w:t>
      </w:r>
    </w:p>
    <w:p w14:paraId="79999EF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1574867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The Supreme Court, however, holds a different opinion. </w:t>
      </w:r>
      <w:r w:rsidRPr="00AC41B0">
        <w:rPr>
          <w:rFonts w:ascii="Arial" w:eastAsia="Times New Roman" w:hAnsi="Arial" w:cs="Arial"/>
          <w:color w:val="1F2937"/>
          <w:sz w:val="27"/>
          <w:szCs w:val="27"/>
          <w:lang w:eastAsia="en-GB"/>
        </w:rPr>
        <w:br/>
        <w:t> </w:t>
      </w:r>
    </w:p>
    <w:p w14:paraId="3257F63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To quote the plurality note of the Supreme Court in </w:t>
      </w:r>
      <w:r w:rsidRPr="00AC41B0">
        <w:rPr>
          <w:rFonts w:ascii="Arial" w:eastAsia="Times New Roman" w:hAnsi="Arial" w:cs="Arial"/>
          <w:b/>
          <w:bCs/>
          <w:i/>
          <w:iCs/>
          <w:color w:val="1F2937"/>
          <w:sz w:val="27"/>
          <w:szCs w:val="27"/>
          <w:bdr w:val="single" w:sz="2" w:space="0" w:color="E5E7EB" w:frame="1"/>
          <w:lang w:eastAsia="en-GB"/>
        </w:rPr>
        <w:t>District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5"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at Paragraph 180: </w:t>
      </w:r>
    </w:p>
    <w:p w14:paraId="738DC4D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20C66286"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w:t>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(d) This Court is vested with the jurisdiction to interpret the Constitution in order to ascertain and identify its defining Salient Features. It is equally vested with jurisdiction to examine the vires of any Constitutional Amendment so as to determine whether any of the Salient Features of the Constitution has been repealed, abrogated or substantively altered as a consequence thereof.</w:t>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 </w:t>
      </w:r>
      <w:r w:rsidRPr="00AC41B0">
        <w:rPr>
          <w:rFonts w:ascii="Arial" w:eastAsia="Times New Roman" w:hAnsi="Arial" w:cs="Arial"/>
          <w:color w:val="1F2937"/>
          <w:sz w:val="27"/>
          <w:szCs w:val="27"/>
          <w:lang w:eastAsia="en-GB"/>
        </w:rPr>
        <w:br/>
        <w:t> </w:t>
      </w:r>
    </w:p>
    <w:p w14:paraId="75BE7B7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Let us dissect.</w:t>
      </w:r>
    </w:p>
    <w:p w14:paraId="2793FE7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For starters, one would not be wrong in noting that there was no textual basis for the jurisdiction claimed by the Court. The notion of “Salient Features” was, as earlier noted, alien to the text of the Constitution and any jurisdiction to examine the vires of a Constitutional Amendment was, therefore, “implicit” at best, if that.</w:t>
      </w:r>
    </w:p>
    <w:p w14:paraId="7396F55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014E4AE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Likewise, here too, there appears to be an irreconcilable conflict between the language of Clause (5) of Article 239, providing for a complete ouster of jurisdiction with regards to questioning the validity of a constitutional amendment and the Supreme Court finding it had been vested with the jurisdiction to examine the vires of an amendment on the ground that it repeals, abrogates or substantively alters a Salient Feature of the Constitution. Again, both states of affairs cannot co-exist.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 xml:space="preserve">Indeed, if one were to again apply the maxim </w:t>
      </w:r>
      <w:proofErr w:type="spellStart"/>
      <w:r w:rsidRPr="00AC41B0">
        <w:rPr>
          <w:rFonts w:ascii="Arial" w:eastAsia="Times New Roman" w:hAnsi="Arial" w:cs="Arial"/>
          <w:color w:val="1F2937"/>
          <w:sz w:val="27"/>
          <w:szCs w:val="27"/>
          <w:lang w:eastAsia="en-GB"/>
        </w:rPr>
        <w:t>expressum</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facit</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cessare</w:t>
      </w:r>
      <w:proofErr w:type="spellEnd"/>
      <w:r w:rsidRPr="00AC41B0">
        <w:rPr>
          <w:rFonts w:ascii="Arial" w:eastAsia="Times New Roman" w:hAnsi="Arial" w:cs="Arial"/>
          <w:color w:val="1F2937"/>
          <w:sz w:val="27"/>
          <w:szCs w:val="27"/>
          <w:lang w:eastAsia="en-GB"/>
        </w:rPr>
        <w:t xml:space="preserve"> </w:t>
      </w:r>
      <w:proofErr w:type="spellStart"/>
      <w:r w:rsidRPr="00AC41B0">
        <w:rPr>
          <w:rFonts w:ascii="Arial" w:eastAsia="Times New Roman" w:hAnsi="Arial" w:cs="Arial"/>
          <w:color w:val="1F2937"/>
          <w:sz w:val="27"/>
          <w:szCs w:val="27"/>
          <w:lang w:eastAsia="en-GB"/>
        </w:rPr>
        <w:t>tacitum</w:t>
      </w:r>
      <w:proofErr w:type="spellEnd"/>
      <w:r w:rsidRPr="00AC41B0">
        <w:rPr>
          <w:rFonts w:ascii="Arial" w:eastAsia="Times New Roman" w:hAnsi="Arial" w:cs="Arial"/>
          <w:color w:val="1F2937"/>
          <w:sz w:val="27"/>
          <w:szCs w:val="27"/>
          <w:lang w:eastAsia="en-GB"/>
        </w:rPr>
        <w:t>, the conflict, rather unsurprisingly, resolves itself: express words trump implied, therefore, Clause (5) of Article 239 prevails over any “implied jurisdiction”. This, naturally, would also entail that the plurality opinion of the Supreme Court in </w:t>
      </w:r>
      <w:r w:rsidRPr="00AC41B0">
        <w:rPr>
          <w:rFonts w:ascii="Arial" w:eastAsia="Times New Roman" w:hAnsi="Arial" w:cs="Arial"/>
          <w:b/>
          <w:bCs/>
          <w:i/>
          <w:iCs/>
          <w:color w:val="1F2937"/>
          <w:sz w:val="27"/>
          <w:szCs w:val="27"/>
          <w:bdr w:val="single" w:sz="2" w:space="0" w:color="E5E7EB" w:frame="1"/>
          <w:lang w:eastAsia="en-GB"/>
        </w:rPr>
        <w:t>District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6"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with the utmost respect, had erred on this aspect as well.</w:t>
      </w:r>
    </w:p>
    <w:p w14:paraId="339CE43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24EC4A2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As such, the finding of the Court also effectively renders nugatory the plain language of and the ouster contained within Clause (5) of Article 239, highlighting how the plurality’s interpretation was again, perhaps, more on the “activist” end of the spectrum as opposed to the “textual”. The jurisdiction so recognised, despite lacking a textual basis, is quite wide in its ambit, including both the jurisdiction: </w:t>
      </w:r>
    </w:p>
    <w:p w14:paraId="17E5B1A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61DCBF4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i/>
          <w:iCs/>
          <w:color w:val="1F2937"/>
          <w:sz w:val="27"/>
          <w:szCs w:val="27"/>
          <w:bdr w:val="single" w:sz="2" w:space="0" w:color="E5E7EB" w:frame="1"/>
          <w:lang w:eastAsia="en-GB"/>
        </w:rPr>
        <w:t>1. to ascertain and identify its defining Salient Features; and</w:t>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2. to examine the vires of any Constitutional Amendment so as to determine whether any of the Salient Features of the Constitution has been repealed, abrogated or</w:t>
      </w: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substantively altered as a consequence thereof </w:t>
      </w:r>
    </w:p>
    <w:p w14:paraId="6CA1D43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175697E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Of course, the power to ascertain and identify is effectively the power to determine, highlighting how the finding of the Court may effectively permit “judicial law-making”. This, while concerning in that it represents an attempt by one pillar of the State to encroach upon the domain of another, also puts into question the legitimacy of the jurisdiction so recognised.</w:t>
      </w:r>
    </w:p>
    <w:p w14:paraId="700D1CD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4218C50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Here too, however, the actual “power grab” occurred in 1985. With the insertion of Clause (5) of Article 239 into the text of the Constitution by the Eighth Amendment, Parliament had effectively done away with even the most limited form of judicial review and oversight that the Courts exercised over amendments on grounds of procedural non-compliance, severely restricting their role as protectors of the Constitution from Parliamentary overreach. As has been noted herein, this limited justiciability had been recognised as early as in </w:t>
      </w:r>
      <w:hyperlink r:id="rId27" w:history="1">
        <w:r w:rsidRPr="00AC41B0">
          <w:rPr>
            <w:rFonts w:ascii="Arial" w:eastAsia="Times New Roman" w:hAnsi="Arial" w:cs="Arial"/>
            <w:b/>
            <w:bCs/>
            <w:color w:val="4D99E6"/>
            <w:sz w:val="27"/>
            <w:szCs w:val="27"/>
            <w:u w:val="single"/>
            <w:bdr w:val="single" w:sz="2" w:space="0" w:color="E5E7EB" w:frame="1"/>
            <w:lang w:eastAsia="en-GB"/>
          </w:rPr>
          <w:t>State v Zia-Ur-Rehman (PLD 1973 SC 49)</w:t>
        </w:r>
      </w:hyperlink>
      <w:r w:rsidRPr="00AC41B0">
        <w:rPr>
          <w:rFonts w:ascii="Arial" w:eastAsia="Times New Roman" w:hAnsi="Arial" w:cs="Arial"/>
          <w:color w:val="1F2937"/>
          <w:sz w:val="27"/>
          <w:szCs w:val="27"/>
          <w:lang w:eastAsia="en-GB"/>
        </w:rPr>
        <w:t>. This judgment (along with several others holding the same), had effectively been set at naught with the insertion of Clause (5) of Article 239.</w:t>
      </w:r>
    </w:p>
    <w:p w14:paraId="4B4BF59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In that sense, the insertion of Clause (5) of Article 239 constituted the original sin: it was the original encroachment by one pillar of the State upon the domain of another.</w:t>
      </w:r>
      <w:r w:rsidRPr="00AC41B0">
        <w:rPr>
          <w:rFonts w:ascii="Arial" w:eastAsia="Times New Roman" w:hAnsi="Arial" w:cs="Arial"/>
          <w:color w:val="1F2937"/>
          <w:sz w:val="27"/>
          <w:szCs w:val="27"/>
          <w:lang w:eastAsia="en-GB"/>
        </w:rPr>
        <w:br/>
        <w:t>Needless to emphasize, however, two wrongs do not make a right. An illegitimate encroachment by one pillar of the State does not justify a retributory (yet equally illegitimate) encroachment from another. As such, both the ouster introduced by Parliament via the insertion of Clause (5) of Article 239 and the Court’s insistence upon possessing the jurisdiction to identify the Salient Features and to examine constitutional amendments upon such touchstone are equally suspect.</w:t>
      </w:r>
    </w:p>
    <w:p w14:paraId="3C18627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Article 184(3) of the Constitution and the Salient Features Doctrine: A Marriage of (Some) Inconvenience</w:t>
      </w:r>
    </w:p>
    <w:p w14:paraId="0E8732B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Of course, there is yet another important aspect of the matter. The majority of the petitions whose judgment was reported as </w:t>
      </w:r>
      <w:r w:rsidRPr="00AC41B0">
        <w:rPr>
          <w:rFonts w:ascii="Arial" w:eastAsia="Times New Roman" w:hAnsi="Arial" w:cs="Arial"/>
          <w:b/>
          <w:bCs/>
          <w:i/>
          <w:iCs/>
          <w:color w:val="1F2937"/>
          <w:sz w:val="27"/>
          <w:szCs w:val="27"/>
          <w:bdr w:val="single" w:sz="2" w:space="0" w:color="E5E7EB" w:frame="1"/>
          <w:lang w:eastAsia="en-GB"/>
        </w:rPr>
        <w:t>District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8" w:history="1">
        <w:r w:rsidRPr="00AC41B0">
          <w:rPr>
            <w:rFonts w:ascii="Arial" w:eastAsia="Times New Roman" w:hAnsi="Arial" w:cs="Arial"/>
            <w:b/>
            <w:bCs/>
            <w:color w:val="4D99E6"/>
            <w:sz w:val="27"/>
            <w:szCs w:val="27"/>
            <w:u w:val="single"/>
            <w:bdr w:val="single" w:sz="2" w:space="0" w:color="E5E7EB" w:frame="1"/>
            <w:lang w:eastAsia="en-GB"/>
          </w:rPr>
          <w:t>(PLD 2015 SC 401)</w:t>
        </w:r>
      </w:hyperlink>
      <w:r w:rsidRPr="00AC41B0">
        <w:rPr>
          <w:rFonts w:ascii="Arial" w:eastAsia="Times New Roman" w:hAnsi="Arial" w:cs="Arial"/>
          <w:color w:val="1F2937"/>
          <w:sz w:val="27"/>
          <w:szCs w:val="27"/>
          <w:lang w:eastAsia="en-GB"/>
        </w:rPr>
        <w:t> were filed under Article 184(3) of the Constitution:</w:t>
      </w:r>
    </w:p>
    <w:p w14:paraId="73B0B5F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5D41ED1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“Without prejudice to the provisions of Article 199, the Supreme Court shall, if it considers that a question of public importance with reference to the enforcement of any of the Fundamental Rights conferred by Chapter I of Part II is involved have the power to make an order of the nature mentioned in the said Article.”</w:t>
      </w:r>
    </w:p>
    <w:p w14:paraId="45319141"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(Emphasis Supplied)</w:t>
      </w:r>
      <w:r w:rsidRPr="00AC41B0">
        <w:rPr>
          <w:rFonts w:ascii="Arial" w:eastAsia="Times New Roman" w:hAnsi="Arial" w:cs="Arial"/>
          <w:color w:val="1F2937"/>
          <w:sz w:val="27"/>
          <w:szCs w:val="27"/>
          <w:lang w:eastAsia="en-GB"/>
        </w:rPr>
        <w:br/>
        <w:t> </w:t>
      </w:r>
    </w:p>
    <w:p w14:paraId="199E34C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Professedly, an examination of the above-reproduced Article 184(3) gives rise to more questions than it answers. After all, what was the nexus of the “Salient Features” with the “Fundamental Rights”? How were they related?</w:t>
      </w:r>
    </w:p>
    <w:p w14:paraId="655C22D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The plurality opinion of the Court did not establish.</w:t>
      </w:r>
      <w:r w:rsidRPr="00AC41B0">
        <w:rPr>
          <w:rFonts w:ascii="Arial" w:eastAsia="Times New Roman" w:hAnsi="Arial" w:cs="Arial"/>
          <w:color w:val="1F2937"/>
          <w:sz w:val="27"/>
          <w:szCs w:val="27"/>
          <w:lang w:eastAsia="en-GB"/>
        </w:rPr>
        <w:br/>
        <w:t> </w:t>
      </w:r>
    </w:p>
    <w:p w14:paraId="1AB17CC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The concerns indeed amplify whence one appreciates that the Salient Features that were ultimately ascertained in the plurality opinion (at Paragraph 180(b)) were “Democracy, Parliamentary Form of Government and Independence of the Judiciary”.</w:t>
      </w:r>
    </w:p>
    <w:p w14:paraId="260DB77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“Fundamental Rights” found no mention in that particular list.</w:t>
      </w:r>
    </w:p>
    <w:p w14:paraId="7745094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To be fair, “Fundamental Rights” have indeed been recognized by the Supreme Court as a Salient Feature of the Constitution; albeit mostly in minority opinions. The author Judge, Mr. Justice Azmat Saeed (as he then was), identifies as much in Paragraph 60 of the plurality note:</w:t>
      </w:r>
    </w:p>
    <w:p w14:paraId="2E81E4F3"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 xml:space="preserve">“60. An overview of the judgments reproduced or cited herein above, more particularly, Mahmood Khan </w:t>
      </w:r>
      <w:proofErr w:type="gramStart"/>
      <w:r w:rsidRPr="00AC41B0">
        <w:rPr>
          <w:rFonts w:ascii="Arial" w:eastAsia="Times New Roman" w:hAnsi="Arial" w:cs="Arial"/>
          <w:i/>
          <w:iCs/>
          <w:color w:val="1F2937"/>
          <w:sz w:val="27"/>
          <w:szCs w:val="27"/>
          <w:bdr w:val="single" w:sz="2" w:space="0" w:color="E5E7EB" w:frame="1"/>
          <w:lang w:eastAsia="en-GB"/>
        </w:rPr>
        <w:t>Achakzai‘</w:t>
      </w:r>
      <w:proofErr w:type="gramEnd"/>
      <w:r w:rsidRPr="00AC41B0">
        <w:rPr>
          <w:rFonts w:ascii="Arial" w:eastAsia="Times New Roman" w:hAnsi="Arial" w:cs="Arial"/>
          <w:i/>
          <w:iCs/>
          <w:color w:val="1F2937"/>
          <w:sz w:val="27"/>
          <w:szCs w:val="27"/>
          <w:bdr w:val="single" w:sz="2" w:space="0" w:color="E5E7EB" w:frame="1"/>
          <w:lang w:eastAsia="en-GB"/>
        </w:rPr>
        <w:t xml:space="preserve">s case (supra), </w:t>
      </w:r>
      <w:proofErr w:type="spellStart"/>
      <w:r w:rsidRPr="00AC41B0">
        <w:rPr>
          <w:rFonts w:ascii="Arial" w:eastAsia="Times New Roman" w:hAnsi="Arial" w:cs="Arial"/>
          <w:i/>
          <w:iCs/>
          <w:color w:val="1F2937"/>
          <w:sz w:val="27"/>
          <w:szCs w:val="27"/>
          <w:bdr w:val="single" w:sz="2" w:space="0" w:color="E5E7EB" w:frame="1"/>
          <w:lang w:eastAsia="en-GB"/>
        </w:rPr>
        <w:t>Wukala</w:t>
      </w:r>
      <w:proofErr w:type="spellEnd"/>
      <w:r w:rsidRPr="00AC41B0">
        <w:rPr>
          <w:rFonts w:ascii="Arial" w:eastAsia="Times New Roman" w:hAnsi="Arial" w:cs="Arial"/>
          <w:i/>
          <w:iCs/>
          <w:color w:val="1F2937"/>
          <w:sz w:val="27"/>
          <w:szCs w:val="27"/>
          <w:bdr w:val="single" w:sz="2" w:space="0" w:color="E5E7EB" w:frame="1"/>
          <w:lang w:eastAsia="en-GB"/>
        </w:rPr>
        <w:t xml:space="preserve"> </w:t>
      </w:r>
      <w:proofErr w:type="spellStart"/>
      <w:r w:rsidRPr="00AC41B0">
        <w:rPr>
          <w:rFonts w:ascii="Arial" w:eastAsia="Times New Roman" w:hAnsi="Arial" w:cs="Arial"/>
          <w:i/>
          <w:iCs/>
          <w:color w:val="1F2937"/>
          <w:sz w:val="27"/>
          <w:szCs w:val="27"/>
          <w:bdr w:val="single" w:sz="2" w:space="0" w:color="E5E7EB" w:frame="1"/>
          <w:lang w:eastAsia="en-GB"/>
        </w:rPr>
        <w:t>Mahaz</w:t>
      </w:r>
      <w:proofErr w:type="spellEnd"/>
      <w:r w:rsidRPr="00AC41B0">
        <w:rPr>
          <w:rFonts w:ascii="Arial" w:eastAsia="Times New Roman" w:hAnsi="Arial" w:cs="Arial"/>
          <w:i/>
          <w:iCs/>
          <w:color w:val="1F2937"/>
          <w:sz w:val="27"/>
          <w:szCs w:val="27"/>
          <w:bdr w:val="single" w:sz="2" w:space="0" w:color="E5E7EB" w:frame="1"/>
          <w:lang w:eastAsia="en-GB"/>
        </w:rPr>
        <w:t xml:space="preserve"> case (supra), Zafar Ali Shah‘s case (supra) and Pakistan Lawyers Forum‘s case (supra), reveal that this Court has referred to the Prominent Characteristics, which define the Constitution and are its Salient Features. Some of such Characteristics mentioned in the aforesaid judgments, including Democracy, Federalism, Parliamentary Form of Government blended with the Islamic Provisions, Independence of Judiciary, Fundamental Rights, Equality, Justice and Fair Play.”</w:t>
      </w:r>
    </w:p>
    <w:p w14:paraId="4839175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r w:rsidRPr="00AC41B0">
        <w:rPr>
          <w:rFonts w:ascii="Arial" w:eastAsia="Times New Roman" w:hAnsi="Arial" w:cs="Arial"/>
          <w:b/>
          <w:bCs/>
          <w:i/>
          <w:iCs/>
          <w:color w:val="1F2937"/>
          <w:sz w:val="27"/>
          <w:szCs w:val="27"/>
          <w:u w:val="single"/>
          <w:bdr w:val="single" w:sz="2" w:space="0" w:color="E5E7EB" w:frame="1"/>
          <w:lang w:eastAsia="en-GB"/>
        </w:rPr>
        <w:t>(Emphasis Supplied)</w:t>
      </w:r>
      <w:r w:rsidRPr="00AC41B0">
        <w:rPr>
          <w:rFonts w:ascii="Arial" w:eastAsia="Times New Roman" w:hAnsi="Arial" w:cs="Arial"/>
          <w:color w:val="1F2937"/>
          <w:sz w:val="27"/>
          <w:szCs w:val="27"/>
          <w:lang w:eastAsia="en-GB"/>
        </w:rPr>
        <w:br/>
        <w:t> </w:t>
      </w:r>
    </w:p>
    <w:p w14:paraId="514249D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77187F8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His Lordship, however, excludes mention of “Fundamental Rights” in the Paragraph that follows:</w:t>
      </w:r>
    </w:p>
    <w:p w14:paraId="01E1022A"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xml:space="preserve">“61. It may not be necessary to conclusively determine the Salient Features of the </w:t>
      </w:r>
      <w:proofErr w:type="gramStart"/>
      <w:r w:rsidRPr="00AC41B0">
        <w:rPr>
          <w:rFonts w:ascii="Arial" w:eastAsia="Times New Roman" w:hAnsi="Arial" w:cs="Arial"/>
          <w:color w:val="1F2937"/>
          <w:sz w:val="27"/>
          <w:szCs w:val="27"/>
          <w:lang w:eastAsia="en-GB"/>
        </w:rPr>
        <w:t>Constitution,</w:t>
      </w:r>
      <w:proofErr w:type="gramEnd"/>
      <w:r w:rsidRPr="00AC41B0">
        <w:rPr>
          <w:rFonts w:ascii="Arial" w:eastAsia="Times New Roman" w:hAnsi="Arial" w:cs="Arial"/>
          <w:color w:val="1F2937"/>
          <w:sz w:val="27"/>
          <w:szCs w:val="27"/>
          <w:lang w:eastAsia="en-GB"/>
        </w:rPr>
        <w:t xml:space="preserve"> however, Democracy, Parliamentary Form of Government and Independence of Judiciary are certainly included in the Prominent Characteristics, forming the Salient Features, which are primarily relevant for the adjudication of the </w:t>
      </w:r>
      <w:proofErr w:type="spellStart"/>
      <w:r w:rsidRPr="00AC41B0">
        <w:rPr>
          <w:rFonts w:ascii="Arial" w:eastAsia="Times New Roman" w:hAnsi="Arial" w:cs="Arial"/>
          <w:color w:val="1F2937"/>
          <w:sz w:val="27"/>
          <w:szCs w:val="27"/>
          <w:lang w:eastAsia="en-GB"/>
        </w:rPr>
        <w:t>lis</w:t>
      </w:r>
      <w:proofErr w:type="spellEnd"/>
      <w:r w:rsidRPr="00AC41B0">
        <w:rPr>
          <w:rFonts w:ascii="Arial" w:eastAsia="Times New Roman" w:hAnsi="Arial" w:cs="Arial"/>
          <w:color w:val="1F2937"/>
          <w:sz w:val="27"/>
          <w:szCs w:val="27"/>
          <w:lang w:eastAsia="en-GB"/>
        </w:rPr>
        <w:t xml:space="preserve"> at hand.”</w:t>
      </w:r>
    </w:p>
    <w:p w14:paraId="301CA7A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The Textualists Speak</w:t>
      </w:r>
    </w:p>
    <w:p w14:paraId="56587375"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These concerns, however, are hardly novel. One does indeed find that a few judges hearing District </w:t>
      </w:r>
      <w:proofErr w:type="spellStart"/>
      <w:r w:rsidRPr="00AC41B0">
        <w:rPr>
          <w:rFonts w:ascii="Arial" w:eastAsia="Times New Roman" w:hAnsi="Arial" w:cs="Arial"/>
          <w:b/>
          <w:bCs/>
          <w:i/>
          <w:iCs/>
          <w:color w:val="1F2937"/>
          <w:sz w:val="27"/>
          <w:szCs w:val="27"/>
          <w:bdr w:val="single" w:sz="2" w:space="0" w:color="E5E7EB" w:frame="1"/>
          <w:lang w:eastAsia="en-GB"/>
        </w:rPr>
        <w:t>District</w:t>
      </w:r>
      <w:proofErr w:type="spellEnd"/>
      <w:r w:rsidRPr="00AC41B0">
        <w:rPr>
          <w:rFonts w:ascii="Arial" w:eastAsia="Times New Roman" w:hAnsi="Arial" w:cs="Arial"/>
          <w:b/>
          <w:bCs/>
          <w:i/>
          <w:iCs/>
          <w:color w:val="1F2937"/>
          <w:sz w:val="27"/>
          <w:szCs w:val="27"/>
          <w:bdr w:val="single" w:sz="2" w:space="0" w:color="E5E7EB" w:frame="1"/>
          <w:lang w:eastAsia="en-GB"/>
        </w:rPr>
        <w:t xml:space="preserve"> Bar Association (Rawalpindi) v Federation of Pakistan</w:t>
      </w:r>
      <w:r w:rsidRPr="00AC41B0">
        <w:rPr>
          <w:rFonts w:ascii="Arial" w:eastAsia="Times New Roman" w:hAnsi="Arial" w:cs="Arial"/>
          <w:b/>
          <w:bCs/>
          <w:color w:val="1F2937"/>
          <w:sz w:val="27"/>
          <w:szCs w:val="27"/>
          <w:bdr w:val="single" w:sz="2" w:space="0" w:color="E5E7EB" w:frame="1"/>
          <w:lang w:eastAsia="en-GB"/>
        </w:rPr>
        <w:t> </w:t>
      </w:r>
      <w:hyperlink r:id="rId29" w:history="1">
        <w:r w:rsidRPr="00AC41B0">
          <w:rPr>
            <w:rFonts w:ascii="Arial" w:eastAsia="Times New Roman" w:hAnsi="Arial" w:cs="Arial"/>
            <w:b/>
            <w:bCs/>
            <w:color w:val="4D99E6"/>
            <w:sz w:val="27"/>
            <w:szCs w:val="27"/>
            <w:u w:val="single"/>
            <w:bdr w:val="single" w:sz="2" w:space="0" w:color="E5E7EB" w:frame="1"/>
            <w:lang w:eastAsia="en-GB"/>
          </w:rPr>
          <w:t>(PLD 2015 SC 401) </w:t>
        </w:r>
      </w:hyperlink>
      <w:r w:rsidRPr="00AC41B0">
        <w:rPr>
          <w:rFonts w:ascii="Arial" w:eastAsia="Times New Roman" w:hAnsi="Arial" w:cs="Arial"/>
          <w:color w:val="1F2937"/>
          <w:sz w:val="27"/>
          <w:szCs w:val="27"/>
          <w:lang w:eastAsia="en-GB"/>
        </w:rPr>
        <w:t>subscribed to this textual reading in their separate opinions.</w:t>
      </w:r>
    </w:p>
    <w:p w14:paraId="1A522C6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To quote the opinion of CJ Nasir-ul-</w:t>
      </w:r>
      <w:proofErr w:type="spellStart"/>
      <w:r w:rsidRPr="00AC41B0">
        <w:rPr>
          <w:rFonts w:ascii="Arial" w:eastAsia="Times New Roman" w:hAnsi="Arial" w:cs="Arial"/>
          <w:color w:val="1F2937"/>
          <w:sz w:val="27"/>
          <w:szCs w:val="27"/>
          <w:lang w:eastAsia="en-GB"/>
        </w:rPr>
        <w:t>Mulk</w:t>
      </w:r>
      <w:proofErr w:type="spellEnd"/>
      <w:r w:rsidRPr="00AC41B0">
        <w:rPr>
          <w:rFonts w:ascii="Arial" w:eastAsia="Times New Roman" w:hAnsi="Arial" w:cs="Arial"/>
          <w:color w:val="1F2937"/>
          <w:sz w:val="27"/>
          <w:szCs w:val="27"/>
          <w:lang w:eastAsia="en-GB"/>
        </w:rPr>
        <w:t xml:space="preserve"> (as he then was) and Justice Iqbal </w:t>
      </w:r>
      <w:proofErr w:type="spellStart"/>
      <w:r w:rsidRPr="00AC41B0">
        <w:rPr>
          <w:rFonts w:ascii="Arial" w:eastAsia="Times New Roman" w:hAnsi="Arial" w:cs="Arial"/>
          <w:color w:val="1F2937"/>
          <w:sz w:val="27"/>
          <w:szCs w:val="27"/>
          <w:lang w:eastAsia="en-GB"/>
        </w:rPr>
        <w:t>Hameedur</w:t>
      </w:r>
      <w:proofErr w:type="spellEnd"/>
      <w:r w:rsidRPr="00AC41B0">
        <w:rPr>
          <w:rFonts w:ascii="Arial" w:eastAsia="Times New Roman" w:hAnsi="Arial" w:cs="Arial"/>
          <w:color w:val="1F2937"/>
          <w:sz w:val="27"/>
          <w:szCs w:val="27"/>
          <w:lang w:eastAsia="en-GB"/>
        </w:rPr>
        <w:t xml:space="preserve"> Rehman (as he then was), at Paragraph 69: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 xml:space="preserve">“69. </w:t>
      </w:r>
      <w:proofErr w:type="gramStart"/>
      <w:r w:rsidRPr="00AC41B0">
        <w:rPr>
          <w:rFonts w:ascii="Arial" w:eastAsia="Times New Roman" w:hAnsi="Arial" w:cs="Arial"/>
          <w:color w:val="1F2937"/>
          <w:sz w:val="27"/>
          <w:szCs w:val="27"/>
          <w:lang w:eastAsia="en-GB"/>
        </w:rPr>
        <w:t>Thus</w:t>
      </w:r>
      <w:proofErr w:type="gramEnd"/>
      <w:r w:rsidRPr="00AC41B0">
        <w:rPr>
          <w:rFonts w:ascii="Arial" w:eastAsia="Times New Roman" w:hAnsi="Arial" w:cs="Arial"/>
          <w:i/>
          <w:iCs/>
          <w:color w:val="1F2937"/>
          <w:sz w:val="27"/>
          <w:szCs w:val="27"/>
          <w:bdr w:val="single" w:sz="2" w:space="0" w:color="E5E7EB" w:frame="1"/>
          <w:lang w:eastAsia="en-GB"/>
        </w:rPr>
        <w:t> </w:t>
      </w:r>
      <w:r w:rsidRPr="00AC41B0">
        <w:rPr>
          <w:rFonts w:ascii="Arial" w:eastAsia="Times New Roman" w:hAnsi="Arial" w:cs="Arial"/>
          <w:b/>
          <w:bCs/>
          <w:i/>
          <w:iCs/>
          <w:color w:val="1F2937"/>
          <w:sz w:val="27"/>
          <w:szCs w:val="27"/>
          <w:u w:val="single"/>
          <w:bdr w:val="single" w:sz="2" w:space="0" w:color="E5E7EB" w:frame="1"/>
          <w:lang w:eastAsia="en-GB"/>
        </w:rPr>
        <w:t>the powers conferred on this Court under Article 184 (3) of the Constitution cannot be exercised to strike down any amendment in the Constitution even if it violates any of the fundamental rights</w:t>
      </w:r>
      <w:r w:rsidRPr="00AC41B0">
        <w:rPr>
          <w:rFonts w:ascii="Arial" w:eastAsia="Times New Roman" w:hAnsi="Arial" w:cs="Arial"/>
          <w:i/>
          <w:iCs/>
          <w:color w:val="1F2937"/>
          <w:sz w:val="27"/>
          <w:szCs w:val="27"/>
          <w:bdr w:val="single" w:sz="2" w:space="0" w:color="E5E7EB" w:frame="1"/>
          <w:lang w:eastAsia="en-GB"/>
        </w:rPr>
        <w:t>.</w:t>
      </w:r>
      <w:r w:rsidRPr="00AC41B0">
        <w:rPr>
          <w:rFonts w:ascii="Arial" w:eastAsia="Times New Roman" w:hAnsi="Arial" w:cs="Arial"/>
          <w:color w:val="1F2937"/>
          <w:sz w:val="27"/>
          <w:szCs w:val="27"/>
          <w:lang w:eastAsia="en-GB"/>
        </w:rPr>
        <w:t> Such power has not been conferred on the Courts by any other provision of the Constitution. </w:t>
      </w:r>
      <w:r w:rsidRPr="00AC41B0">
        <w:rPr>
          <w:rFonts w:ascii="Arial" w:eastAsia="Times New Roman" w:hAnsi="Arial" w:cs="Arial"/>
          <w:b/>
          <w:bCs/>
          <w:i/>
          <w:iCs/>
          <w:color w:val="1F2937"/>
          <w:sz w:val="27"/>
          <w:szCs w:val="27"/>
          <w:u w:val="single"/>
          <w:bdr w:val="single" w:sz="2" w:space="0" w:color="E5E7EB" w:frame="1"/>
          <w:lang w:eastAsia="en-GB"/>
        </w:rPr>
        <w:t>Rather, clause (5) of Article 239 in no ambiguous terms ousts the jurisdiction of all Courts to call into question any amendment.</w:t>
      </w:r>
      <w:r w:rsidRPr="00AC41B0">
        <w:rPr>
          <w:rFonts w:ascii="Arial" w:eastAsia="Times New Roman" w:hAnsi="Arial" w:cs="Arial"/>
          <w:color w:val="1F2937"/>
          <w:sz w:val="27"/>
          <w:szCs w:val="27"/>
          <w:lang w:eastAsia="en-GB"/>
        </w:rPr>
        <w:br/>
        <w:t>…</w:t>
      </w:r>
      <w:r w:rsidRPr="00AC41B0">
        <w:rPr>
          <w:rFonts w:ascii="Arial" w:eastAsia="Times New Roman" w:hAnsi="Arial" w:cs="Arial"/>
          <w:color w:val="1F2937"/>
          <w:sz w:val="27"/>
          <w:szCs w:val="27"/>
          <w:lang w:eastAsia="en-GB"/>
        </w:rPr>
        <w:br/>
      </w:r>
      <w:r w:rsidRPr="00AC41B0">
        <w:rPr>
          <w:rFonts w:ascii="Arial" w:eastAsia="Times New Roman" w:hAnsi="Arial" w:cs="Arial"/>
          <w:b/>
          <w:bCs/>
          <w:i/>
          <w:iCs/>
          <w:color w:val="1F2937"/>
          <w:sz w:val="27"/>
          <w:szCs w:val="27"/>
          <w:u w:val="single"/>
          <w:bdr w:val="single" w:sz="2" w:space="0" w:color="E5E7EB" w:frame="1"/>
          <w:lang w:eastAsia="en-GB"/>
        </w:rPr>
        <w:t>As jurisdiction of the Court has been clearly ousted from reviewing any amendments made by the Parliament to the Constitution, Courts cannot assume such jurisdiction upon itself by relying on any academic theories, doctrines or any other means of construing meaning of the Constitution.”</w:t>
      </w:r>
    </w:p>
    <w:p w14:paraId="5D7EC156"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(Emphasis Supplied) </w:t>
      </w:r>
    </w:p>
    <w:p w14:paraId="62CBF07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44D5A2A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52CCF5A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Their Lordships conclude, at Paragraph 73, that:</w:t>
      </w:r>
    </w:p>
    <w:p w14:paraId="1BF992A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“73. To conclude, as held above, there are no limitations, express or implied, on the powers of the Parliament to amend the Constitution and </w:t>
      </w:r>
      <w:r w:rsidRPr="00AC41B0">
        <w:rPr>
          <w:rFonts w:ascii="Arial" w:eastAsia="Times New Roman" w:hAnsi="Arial" w:cs="Arial"/>
          <w:b/>
          <w:bCs/>
          <w:i/>
          <w:iCs/>
          <w:color w:val="1F2937"/>
          <w:sz w:val="27"/>
          <w:szCs w:val="27"/>
          <w:u w:val="single"/>
          <w:bdr w:val="single" w:sz="2" w:space="0" w:color="E5E7EB" w:frame="1"/>
          <w:lang w:eastAsia="en-GB"/>
        </w:rPr>
        <w:t>the amendments brought about in exercise of such power are not liable to be challenged on any ground whatsoever before any Court.</w:t>
      </w:r>
      <w:r w:rsidRPr="00AC41B0">
        <w:rPr>
          <w:rFonts w:ascii="Arial" w:eastAsia="Times New Roman" w:hAnsi="Arial" w:cs="Arial"/>
          <w:color w:val="1F2937"/>
          <w:sz w:val="27"/>
          <w:szCs w:val="27"/>
          <w:lang w:eastAsia="en-GB"/>
        </w:rPr>
        <w:t> As this Court lacks jurisdiction to strike down any amendment in the Constitution it is not necessary to examine the grounds on which the 18th and the 21st Amendments have been challenged…”</w:t>
      </w:r>
    </w:p>
    <w:p w14:paraId="507B582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 (Emphasis Supplied)</w:t>
      </w:r>
    </w:p>
    <w:p w14:paraId="26F26B7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These concerns were echoed in the opinion of at least one more Judge, namely, Justice Saqib Nisar (as he then was), who agreed with the Chief Justice’s opinion in principle and proceeded to highlight the interpretative problem. </w:t>
      </w:r>
      <w:r w:rsidRPr="00AC41B0">
        <w:rPr>
          <w:rFonts w:ascii="Arial" w:eastAsia="Times New Roman" w:hAnsi="Arial" w:cs="Arial"/>
          <w:color w:val="1F2937"/>
          <w:sz w:val="27"/>
          <w:szCs w:val="27"/>
          <w:lang w:eastAsia="en-GB"/>
        </w:rPr>
        <w:br/>
      </w:r>
      <w:r w:rsidRPr="00AC41B0">
        <w:rPr>
          <w:rFonts w:ascii="Arial" w:eastAsia="Times New Roman" w:hAnsi="Arial" w:cs="Arial"/>
          <w:color w:val="1F2937"/>
          <w:sz w:val="27"/>
          <w:szCs w:val="27"/>
          <w:lang w:eastAsia="en-GB"/>
        </w:rPr>
        <w:br/>
        <w:t>To quote his separate opinion (at Paragraph 12):</w:t>
      </w:r>
    </w:p>
    <w:p w14:paraId="3D11D27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w:t>
      </w:r>
      <w:r w:rsidRPr="00AC41B0">
        <w:rPr>
          <w:rFonts w:ascii="Arial" w:eastAsia="Times New Roman" w:hAnsi="Arial" w:cs="Arial"/>
          <w:b/>
          <w:bCs/>
          <w:i/>
          <w:iCs/>
          <w:color w:val="1F2937"/>
          <w:sz w:val="27"/>
          <w:szCs w:val="27"/>
          <w:u w:val="single"/>
          <w:bdr w:val="single" w:sz="2" w:space="0" w:color="E5E7EB" w:frame="1"/>
          <w:lang w:eastAsia="en-GB"/>
        </w:rPr>
        <w:t>Clause (5) expressly bars the jurisdiction of the courts with regard to constitutional amendments, and clause (6) clarifies that the power of Parliament to amend the Constitution is without limitation. </w:t>
      </w:r>
      <w:r w:rsidRPr="00AC41B0">
        <w:rPr>
          <w:rFonts w:ascii="Arial" w:eastAsia="Times New Roman" w:hAnsi="Arial" w:cs="Arial"/>
          <w:color w:val="1F2937"/>
          <w:sz w:val="27"/>
          <w:szCs w:val="27"/>
          <w:lang w:eastAsia="en-GB"/>
        </w:rPr>
        <w:t>Article 239, as it stands today, was ratified by the 8th Amendment (which was upheld in Mahmood Khan Achakzai v Federation of Pakistan </w:t>
      </w:r>
      <w:hyperlink r:id="rId30" w:history="1">
        <w:r w:rsidRPr="00AC41B0">
          <w:rPr>
            <w:rFonts w:ascii="Arial" w:eastAsia="Times New Roman" w:hAnsi="Arial" w:cs="Arial"/>
            <w:b/>
            <w:bCs/>
            <w:color w:val="4D99E6"/>
            <w:sz w:val="27"/>
            <w:szCs w:val="27"/>
            <w:u w:val="single"/>
            <w:bdr w:val="single" w:sz="2" w:space="0" w:color="E5E7EB" w:frame="1"/>
            <w:lang w:eastAsia="en-GB"/>
          </w:rPr>
          <w:t>(PLD 1997 SC 426)</w:t>
        </w:r>
      </w:hyperlink>
      <w:r w:rsidRPr="00AC41B0">
        <w:rPr>
          <w:rFonts w:ascii="Arial" w:eastAsia="Times New Roman" w:hAnsi="Arial" w:cs="Arial"/>
          <w:color w:val="1F2937"/>
          <w:sz w:val="27"/>
          <w:szCs w:val="27"/>
          <w:lang w:eastAsia="en-GB"/>
        </w:rPr>
        <w:t>), and has not been called in question since then, nor have any of its provisions been specifically challenged by the Petitioners in the present Petitions.”</w:t>
      </w:r>
    </w:p>
    <w:p w14:paraId="6FC4842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 (Emphasis Supplied)</w:t>
      </w:r>
    </w:p>
    <w:p w14:paraId="610E092E"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Notably, His Lordship falls just short of expressly referencing the titular maxim when he states (at Paragraph 14), that:</w:t>
      </w:r>
    </w:p>
    <w:p w14:paraId="72831B39"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“It is pertinent to note that the foregoing cases were decided when Article 239 did not contain any express bar regarding the jurisdiction of the courts. Nonetheless, the firm view was that amendments to the Constitution were not justiciable. </w:t>
      </w:r>
      <w:r w:rsidRPr="00AC41B0">
        <w:rPr>
          <w:rFonts w:ascii="Arial" w:eastAsia="Times New Roman" w:hAnsi="Arial" w:cs="Arial"/>
          <w:b/>
          <w:bCs/>
          <w:i/>
          <w:iCs/>
          <w:color w:val="1F2937"/>
          <w:sz w:val="27"/>
          <w:szCs w:val="27"/>
          <w:u w:val="single"/>
          <w:bdr w:val="single" w:sz="2" w:space="0" w:color="E5E7EB" w:frame="1"/>
          <w:lang w:eastAsia="en-GB"/>
        </w:rPr>
        <w:t xml:space="preserve">If therefore an amendment to the Constitution could not be subjected to judicial review when there was no express bar, how can it be so reviewed today, when clause (5) does contain such a </w:t>
      </w:r>
      <w:proofErr w:type="gramStart"/>
      <w:r w:rsidRPr="00AC41B0">
        <w:rPr>
          <w:rFonts w:ascii="Arial" w:eastAsia="Times New Roman" w:hAnsi="Arial" w:cs="Arial"/>
          <w:b/>
          <w:bCs/>
          <w:i/>
          <w:iCs/>
          <w:color w:val="1F2937"/>
          <w:sz w:val="27"/>
          <w:szCs w:val="27"/>
          <w:u w:val="single"/>
          <w:bdr w:val="single" w:sz="2" w:space="0" w:color="E5E7EB" w:frame="1"/>
          <w:lang w:eastAsia="en-GB"/>
        </w:rPr>
        <w:t>bar?…</w:t>
      </w:r>
      <w:proofErr w:type="gramEnd"/>
    </w:p>
    <w:p w14:paraId="2AB8610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b/>
          <w:bCs/>
          <w:i/>
          <w:iCs/>
          <w:color w:val="1F2937"/>
          <w:sz w:val="27"/>
          <w:szCs w:val="27"/>
          <w:u w:val="single"/>
          <w:bdr w:val="single" w:sz="2" w:space="0" w:color="E5E7EB" w:frame="1"/>
          <w:lang w:eastAsia="en-GB"/>
        </w:rPr>
        <w:t> (Emphasis Supplied)</w:t>
      </w:r>
    </w:p>
    <w:p w14:paraId="7E6F252D"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His Lordship lucidly proceeds to lay down the legal position, as it would be if one were to indeed follow the titular maxim:</w:t>
      </w:r>
    </w:p>
    <w:p w14:paraId="08F2352C"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“…Therefore, unless clause (5) itself is declared invalid, it presents a barrier to the invalidation by the courts of any amendment of the Constitution…” </w:t>
      </w:r>
    </w:p>
    <w:p w14:paraId="4EEE9C58"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 </w:t>
      </w:r>
    </w:p>
    <w:p w14:paraId="32F0C120"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t>Of course, His Lordship could only lament, with emphasis that:</w:t>
      </w:r>
    </w:p>
    <w:p w14:paraId="592DA457"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“…As noted above, clause (5) of Article 239 has not been challenged by the Petitioners.”</w:t>
      </w:r>
    </w:p>
    <w:p w14:paraId="470694E4"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r>
      <w:r w:rsidRPr="00AC41B0">
        <w:rPr>
          <w:rFonts w:ascii="Arial" w:eastAsia="Times New Roman" w:hAnsi="Arial" w:cs="Arial"/>
          <w:i/>
          <w:iCs/>
          <w:color w:val="1F2937"/>
          <w:sz w:val="27"/>
          <w:szCs w:val="27"/>
          <w:bdr w:val="single" w:sz="2" w:space="0" w:color="E5E7EB" w:frame="1"/>
          <w:lang w:eastAsia="en-GB"/>
        </w:rPr>
        <w:t>Conclusion</w:t>
      </w:r>
    </w:p>
    <w:p w14:paraId="628ACF42"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 xml:space="preserve">In sum, one cannot help but appreciate how the continued presence of Clauses (5) and (6) of Article 239 is not a mere oversight but an indication of deeper institutional passivity; or worse, capture. It </w:t>
      </w:r>
      <w:proofErr w:type="gramStart"/>
      <w:r w:rsidRPr="00AC41B0">
        <w:rPr>
          <w:rFonts w:ascii="Arial" w:eastAsia="Times New Roman" w:hAnsi="Arial" w:cs="Arial"/>
          <w:color w:val="1F2937"/>
          <w:sz w:val="27"/>
          <w:szCs w:val="27"/>
          <w:lang w:eastAsia="en-GB"/>
        </w:rPr>
        <w:t>is a reflection of</w:t>
      </w:r>
      <w:proofErr w:type="gramEnd"/>
      <w:r w:rsidRPr="00AC41B0">
        <w:rPr>
          <w:rFonts w:ascii="Arial" w:eastAsia="Times New Roman" w:hAnsi="Arial" w:cs="Arial"/>
          <w:color w:val="1F2937"/>
          <w:sz w:val="27"/>
          <w:szCs w:val="27"/>
          <w:lang w:eastAsia="en-GB"/>
        </w:rPr>
        <w:t xml:space="preserve"> the Bar’s increasing detachment from its historical role as a check upon unbridled state power. This role, naturally, also includes acting as a check against activism from the Bench. This silence is troubling not only because it fails to address critical constitutional questions, but because it risks allowing an environment where the sanctity of the Constitution can be manipulated at will.</w:t>
      </w:r>
    </w:p>
    <w:p w14:paraId="023E0E6B" w14:textId="77777777" w:rsidR="00AC41B0" w:rsidRPr="00AC41B0" w:rsidRDefault="00AC41B0" w:rsidP="00AC41B0">
      <w:pPr>
        <w:pBdr>
          <w:top w:val="single" w:sz="2" w:space="0" w:color="E5E7EB"/>
          <w:left w:val="single" w:sz="2" w:space="0" w:color="E5E7EB"/>
          <w:bottom w:val="single" w:sz="2" w:space="0" w:color="E5E7EB"/>
          <w:right w:val="single" w:sz="2" w:space="0" w:color="E5E7EB"/>
        </w:pBdr>
        <w:shd w:val="clear" w:color="auto" w:fill="FFFFFF"/>
        <w:spacing w:after="0" w:line="240" w:lineRule="auto"/>
        <w:rPr>
          <w:rFonts w:ascii="Arial" w:eastAsia="Times New Roman" w:hAnsi="Arial" w:cs="Arial"/>
          <w:color w:val="1F2937"/>
          <w:sz w:val="27"/>
          <w:szCs w:val="27"/>
          <w:lang w:eastAsia="en-GB"/>
        </w:rPr>
      </w:pPr>
      <w:r w:rsidRPr="00AC41B0">
        <w:rPr>
          <w:rFonts w:ascii="Arial" w:eastAsia="Times New Roman" w:hAnsi="Arial" w:cs="Arial"/>
          <w:color w:val="1F2937"/>
          <w:sz w:val="27"/>
          <w:szCs w:val="27"/>
          <w:lang w:eastAsia="en-GB"/>
        </w:rPr>
        <w:br/>
        <w:t>As constitutional amendments continue to shape Pakistan’s future, it becomes all the more essential for the legal community to re-engage with these foundational issues. The judiciary, too, must exercise restraint in its interpretative reach, balancing between enforcing its own constitutional role and respecting the express provisions of the Constitution. Only through this equilibrium can we hope to preserve the Constitution’s integrity against the pressures of shifting political landscapes. Inaction, after all, is not neutrality: it is complicity in the erosion of constitutional safeguards that generations have strived to establish and protect. </w:t>
      </w:r>
    </w:p>
    <w:p w14:paraId="115FC770" w14:textId="77777777" w:rsidR="00D049D4" w:rsidRDefault="00D049D4"/>
    <w:sectPr w:rsidR="00D04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923"/>
    <w:rsid w:val="00722923"/>
    <w:rsid w:val="00AC41B0"/>
    <w:rsid w:val="00D04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50C9"/>
  <w15:chartTrackingRefBased/>
  <w15:docId w15:val="{77D868E4-466B-4F1E-AE2A-A7018919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76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tlaw.pk/cases/judgment?judgmentId=6347f5b685a8e8efab6e6bf3" TargetMode="External"/><Relationship Id="rId13" Type="http://schemas.openxmlformats.org/officeDocument/2006/relationships/hyperlink" Target="https://eastlaw.pk/cases/judgment?judgmentId=6347f68565808751a13be689" TargetMode="External"/><Relationship Id="rId18" Type="http://schemas.openxmlformats.org/officeDocument/2006/relationships/hyperlink" Target="https://eastlaw.pk/cases/judgment?judgmentId=6347f3455544b14314cdadd4" TargetMode="External"/><Relationship Id="rId26" Type="http://schemas.openxmlformats.org/officeDocument/2006/relationships/hyperlink" Target="https://eastlaw.pk/cases/judgment?judgmentId=6347f47d944b94c694f45c57" TargetMode="External"/><Relationship Id="rId3" Type="http://schemas.openxmlformats.org/officeDocument/2006/relationships/webSettings" Target="webSettings.xml"/><Relationship Id="rId21" Type="http://schemas.openxmlformats.org/officeDocument/2006/relationships/hyperlink" Target="https://eastlaw.pk/cases/judgment?judgmentId=6347f5d485a8e8efab6f5d34" TargetMode="External"/><Relationship Id="rId7" Type="http://schemas.openxmlformats.org/officeDocument/2006/relationships/hyperlink" Target="https://eastlaw.pk/cases/judgment?judgmentId=6347f1fbfe3584544c1cfbff" TargetMode="External"/><Relationship Id="rId12" Type="http://schemas.openxmlformats.org/officeDocument/2006/relationships/hyperlink" Target="https://eastlaw.pk/cases/judgment?judgmentId=6347f69965808751a13c9b40" TargetMode="External"/><Relationship Id="rId17" Type="http://schemas.openxmlformats.org/officeDocument/2006/relationships/hyperlink" Target="https://eastlaw.pk/cases/judgment?judgmentId=6347f4bf944b94c694f69d10" TargetMode="External"/><Relationship Id="rId25" Type="http://schemas.openxmlformats.org/officeDocument/2006/relationships/hyperlink" Target="https://eastlaw.pk/cases/judgment?judgmentId=6347f47d944b94c694f45c57" TargetMode="External"/><Relationship Id="rId2" Type="http://schemas.openxmlformats.org/officeDocument/2006/relationships/settings" Target="settings.xml"/><Relationship Id="rId16" Type="http://schemas.openxmlformats.org/officeDocument/2006/relationships/hyperlink" Target="https://eastlaw.pk/cases/judgment?judgmentId=6347f477944b94c694f4227a" TargetMode="External"/><Relationship Id="rId20" Type="http://schemas.openxmlformats.org/officeDocument/2006/relationships/hyperlink" Target="https://eastlaw.pk/cases/judgment?judgmentId=6347f3055544b14314cbd13a" TargetMode="External"/><Relationship Id="rId29" Type="http://schemas.openxmlformats.org/officeDocument/2006/relationships/hyperlink" Target="https://eastlaw.pk/cases/judgment?judgmentId=6347f47d944b94c694f45c57" TargetMode="External"/><Relationship Id="rId1" Type="http://schemas.openxmlformats.org/officeDocument/2006/relationships/styles" Target="styles.xml"/><Relationship Id="rId6" Type="http://schemas.openxmlformats.org/officeDocument/2006/relationships/hyperlink" Target="https://eastlaw.pk/cases/judgment?judgmentId=6347f1fbfe3584544c1cfbff" TargetMode="External"/><Relationship Id="rId11" Type="http://schemas.openxmlformats.org/officeDocument/2006/relationships/hyperlink" Target="https://eastlaw.pk/cases/judgment?judgmentId=65fbd07d2792cc2abd9d3a14" TargetMode="External"/><Relationship Id="rId24" Type="http://schemas.openxmlformats.org/officeDocument/2006/relationships/hyperlink" Target="https://eastlaw.pk/cases/judgment?judgmentId=6347f47d944b94c694f45c57" TargetMode="External"/><Relationship Id="rId32" Type="http://schemas.openxmlformats.org/officeDocument/2006/relationships/theme" Target="theme/theme1.xml"/><Relationship Id="rId5" Type="http://schemas.openxmlformats.org/officeDocument/2006/relationships/hyperlink" Target="https://eastlaw.pk/cases/judgment?judgmentId=6347f1f5fe3584544c1cd6f1" TargetMode="External"/><Relationship Id="rId15" Type="http://schemas.openxmlformats.org/officeDocument/2006/relationships/hyperlink" Target="https://eastlaw.pk/cases/judgment?judgmentId=6347f47b944b94c694f4494c" TargetMode="External"/><Relationship Id="rId23" Type="http://schemas.openxmlformats.org/officeDocument/2006/relationships/hyperlink" Target="https://eastlaw.pk/cases/judgment?judgmentId=6347f47d944b94c694f45c57" TargetMode="External"/><Relationship Id="rId28" Type="http://schemas.openxmlformats.org/officeDocument/2006/relationships/hyperlink" Target="https://eastlaw.pk/cases/judgment?judgmentId=6347f47d944b94c694f45c57" TargetMode="External"/><Relationship Id="rId10" Type="http://schemas.openxmlformats.org/officeDocument/2006/relationships/hyperlink" Target="https://eastlaw.pk/cases/judgment?judgmentId=654377c0b3a84b597504b497" TargetMode="External"/><Relationship Id="rId19" Type="http://schemas.openxmlformats.org/officeDocument/2006/relationships/hyperlink" Target="https://eastlaw.pk/cases/judgment?judgmentId=6347f2de5544b14314ca944e" TargetMode="External"/><Relationship Id="rId31" Type="http://schemas.openxmlformats.org/officeDocument/2006/relationships/fontTable" Target="fontTable.xml"/><Relationship Id="rId4" Type="http://schemas.openxmlformats.org/officeDocument/2006/relationships/hyperlink" Target="https://eastlaw.pk/cases/judgment?judgmentId=6347f1fbfe3584544c1cfbff" TargetMode="External"/><Relationship Id="rId9" Type="http://schemas.openxmlformats.org/officeDocument/2006/relationships/hyperlink" Target="https://eastlaw.pk/cases/judgment?judgmentId=65cc906784414f900244391c" TargetMode="External"/><Relationship Id="rId14" Type="http://schemas.openxmlformats.org/officeDocument/2006/relationships/hyperlink" Target="https://eastlaw.pk/cases/judgment?judgmentId=6347f64665808751a1399b51" TargetMode="External"/><Relationship Id="rId22" Type="http://schemas.openxmlformats.org/officeDocument/2006/relationships/hyperlink" Target="https://eastlaw.pk/cases/judgment?judgmentId=6347f47d944b94c694f45c57" TargetMode="External"/><Relationship Id="rId27" Type="http://schemas.openxmlformats.org/officeDocument/2006/relationships/hyperlink" Target="https://eastlaw.pk/cases/judgment?judgmentId=6347f1fbfe3584544c1cfbff" TargetMode="External"/><Relationship Id="rId30" Type="http://schemas.openxmlformats.org/officeDocument/2006/relationships/hyperlink" Target="https://eastlaw.pk/cases/judgment?judgmentId=6347f5d885a8e8efab6f8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4897</Words>
  <Characters>27917</Characters>
  <Application>Microsoft Office Word</Application>
  <DocSecurity>0</DocSecurity>
  <Lines>232</Lines>
  <Paragraphs>65</Paragraphs>
  <ScaleCrop>false</ScaleCrop>
  <Company/>
  <LinksUpToDate>false</LinksUpToDate>
  <CharactersWithSpaces>32749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c:creator>
  <cp:keywords/>
  <dc:description/>
  <cp:lastModifiedBy>hi</cp:lastModifiedBy>
  <cp:revision>3</cp:revision>
  <dcterms:created xsi:type="dcterms:W3CDTF">2024-12-01T14:03:00Z</dcterms:created>
  <dcterms:modified xsi:type="dcterms:W3CDTF">2024-12-01T14:07:00Z</dcterms:modified>
</cp:coreProperties>
</file>